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882d8k.htm"/>
      <w:bookmarkStart w:id="1" w:name="ksd1538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VICOR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0-18277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04-2742817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25 Frontage Road, Andover, Massachusetts 01810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(978) 470-2900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50" w:type="dxa"/>
        <w:jc w:val="left"/>
        <w:tblInd w:w="0" w:type="dxa"/>
        <w:tblLayout w:type="fixed"/>
        <w:tblCellMar>
          <w:top w:w="0" w:type="dxa"/>
          <w:left w:w="0" w:type="dxa"/>
          <w:bottom w:w="0" w:type="dxa"/>
          <w:right w:w="0" w:type="dxa"/>
        </w:tblCellMar>
      </w:tblPr>
      <w:tblGrid>
        <w:gridCol w:w="4025"/>
        <w:gridCol w:w="60"/>
        <w:gridCol w:w="740"/>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VICR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right"/>
        <w:rPr>
          <w:rFonts w:ascii="Times New Roman" w:hAnsi="Times New Roman"/>
          <w:sz w:val="20"/>
        </w:rPr>
      </w:pPr>
      <w:r>
        <w:rPr>
          <w:rFonts w:ascii="Times New Roman" w:hAnsi="Times New Roman"/>
          <w:sz w:val="20"/>
        </w:rPr>
        <w:t>Emerging growth company ☐     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Vicor Corporation issued a press release announcing its financial results for the three and nine months ended September 30, 2026. The full text of that press release is attached as Exhibit 99.1 hereto and incorporated by reference herein. The information furnished under this Item 2.02, including the Exhibit attached hereto, shall not be deemed “filed” for any purpose, including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(c) Shell company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440"/>
        <w:gridCol w:w="485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99.1</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Press Release of Vicor Corporation dated October 20, 2026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3882dex991.htm">
              <w:r>
                <w:rPr>
                  <w:rStyle w:val="InternetLink"/>
                </w:rPr>
                <w:t xml:space="preserve">Press Release of Vicor Corporation dated October 20,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6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22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VICOR CORPORATION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F. Schmidt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F. Schmidt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53882dex991.htm"/>
      <w:bookmarkStart w:id="3" w:name="ksd153882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rFonts w:ascii="Times New Roman" w:hAnsi="Times New Roman"/>
          <w:b/>
          <w:sz w:val="20"/>
        </w:rPr>
      </w:pPr>
      <w:r>
        <w:rPr>
          <w:rFonts w:ascii="Times New Roman" w:hAnsi="Times New Roman"/>
          <w:b/>
          <w:sz w:val="20"/>
        </w:rPr>
        <w:t xml:space="preserve">FINANCIAL NEWS BRIEF </w:t>
      </w:r>
    </w:p>
    <w:p>
      <w:pPr>
        <w:pStyle w:val="TextBody"/>
        <w:bidi w:val="0"/>
        <w:spacing w:before="240" w:after="0"/>
        <w:jc w:val="left"/>
        <w:rPr>
          <w:rFonts w:ascii="Times New Roman" w:hAnsi="Times New Roman"/>
          <w:b/>
          <w:sz w:val="20"/>
        </w:rPr>
      </w:pPr>
      <w:r>
        <w:rPr>
          <w:rFonts w:ascii="Times New Roman" w:hAnsi="Times New Roman"/>
          <w:b/>
          <w:sz w:val="20"/>
        </w:rPr>
        <w:t xml:space="preserve">October 20, 2026 </w:t>
      </w:r>
    </w:p>
    <w:p>
      <w:pPr>
        <w:pStyle w:val="TextBody"/>
        <w:bidi w:val="0"/>
        <w:spacing w:before="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left"/>
        <w:rPr>
          <w:rFonts w:ascii="Times New Roman" w:hAnsi="Times New Roman"/>
          <w:b/>
          <w:sz w:val="20"/>
        </w:rPr>
      </w:pPr>
      <w:r>
        <w:rPr>
          <w:rFonts w:ascii="Times New Roman" w:hAnsi="Times New Roman"/>
          <w:b/>
          <w:sz w:val="20"/>
        </w:rPr>
        <w:t xml:space="preserve">Vicor Corporation Reports Results for the Third Quarter Ended September 30, 2026 </w:t>
      </w:r>
    </w:p>
    <w:p>
      <w:pPr>
        <w:pStyle w:val="TextBody"/>
        <w:bidi w:val="0"/>
        <w:spacing w:before="120" w:after="0"/>
        <w:jc w:val="left"/>
        <w:rPr>
          <w:rFonts w:ascii="Times New Roman" w:hAnsi="Times New Roman"/>
          <w:sz w:val="20"/>
        </w:rPr>
      </w:pPr>
      <w:r>
        <w:rPr>
          <w:rFonts w:ascii="Times New Roman" w:hAnsi="Times New Roman"/>
          <w:b/>
          <w:sz w:val="20"/>
        </w:rPr>
        <w:t>Andover, Mass.,</w:t>
      </w:r>
      <w:r>
        <w:rPr>
          <w:rFonts w:ascii="Times New Roman" w:hAnsi="Times New Roman"/>
          <w:sz w:val="20"/>
        </w:rPr>
        <w:t xml:space="preserve"> </w:t>
      </w:r>
      <w:r>
        <w:rPr>
          <w:rFonts w:ascii="Times New Roman" w:hAnsi="Times New Roman"/>
          <w:b/>
          <w:sz w:val="20"/>
        </w:rPr>
        <w:t>October</w:t>
      </w:r>
      <w:r>
        <w:rPr>
          <w:rFonts w:ascii="Times New Roman" w:hAnsi="Times New Roman"/>
          <w:sz w:val="20"/>
        </w:rPr>
        <w:t> </w:t>
      </w:r>
      <w:r>
        <w:rPr>
          <w:rFonts w:ascii="Times New Roman" w:hAnsi="Times New Roman"/>
          <w:b/>
          <w:sz w:val="20"/>
        </w:rPr>
        <w:t xml:space="preserve">20, 2026 </w:t>
      </w:r>
      <w:r>
        <w:rPr>
          <w:rFonts w:ascii="Times New Roman" w:hAnsi="Times New Roman"/>
          <w:sz w:val="20"/>
        </w:rPr>
        <w:t xml:space="preserve">(GLOBE NEWSWIRE) — Vicor Corporation (NASDAQ: VICR) today reported financial results for the third quarter ended September 30, 2026. These results will be discussed at 8:00 a.m. Eastern Time, during management’s quarterly investor conference call. The details for the call are below. </w:t>
      </w:r>
    </w:p>
    <w:p>
      <w:pPr>
        <w:pStyle w:val="TextBody"/>
        <w:bidi w:val="0"/>
        <w:spacing w:before="240" w:after="0"/>
        <w:jc w:val="left"/>
        <w:rPr>
          <w:rFonts w:ascii="Times New Roman" w:hAnsi="Times New Roman"/>
          <w:sz w:val="20"/>
        </w:rPr>
      </w:pPr>
      <w:r>
        <w:rPr>
          <w:rFonts w:ascii="Times New Roman" w:hAnsi="Times New Roman"/>
          <w:sz w:val="20"/>
        </w:rPr>
        <w:t xml:space="preserve">Product and royalty revenues for the third quarter ended September 30, 2026 totaled $197.1 million, a 37.5% sequential increase from $143.4 million in the second quarter of 2026, and increased 78.5% from $110.4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Gross margin increased sequentially to $134.7 million for the third quarter of 2026, compared to $83.1 million for the second quarter of 2026, and increased from $63.5 million for the corresponding period a year ago. Gross margin, as a percentage of revenue, increased to 68.3% for the third quarter of 2026, compared to 58.0% for the second quarter of 2026, and increased from 57.5% for the corresponding period a year ago. Operating expenses, including contingency fees to law firms enforcing Vicor IP, increased sequentially to $62.5 million for the third quarter of 2026, compared to $48.2 million for the second quarter of 2026, and increased from $42.6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Net income for the third quarter was $63.3 million, or $1.33 per diluted share, compared to net income of $49.8 million, or $1.04 per diluted share, for the second quarter of 2026 and net income of $28.3 million or $0.63 per diluted share,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Cash flow from operations totaled $69.7 million for the third quarter, compared to cash flow from operations of $34.0 million in the second quarter of 2026, and cash flow from operations of $38.5 million for the corresponding period a year ago. Capital expenditures for the third quarter totaled $16.1 million, compared to $11.2 million for the second quarter of 2026 and $4.0 million for the corresponding period a year ago. Cash and cash equivalents as of September 30, 2026 increased 13.1% sequentially to approximately $513.1 million compared to approximately $453.6 million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Backlog for the third quarter ended September 30, 2026 totaled $406 million, a 7% sequential increase from $380 million at the end of the second quarter of 2026, and increased 166% from $153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Commenting on recent developments, CEO Dr. Patrizio Vinciarelli stated: “With the purchase of two additional sites within 30 miles of ChiP Fab-1 in Andover, we will be able to provide a nearly 5X increase in capacity from 3 Fabs, relative to Fab-1. Capacity expansion is necessary in view of demand and industry trends. </w:t>
      </w:r>
    </w:p>
    <w:p>
      <w:pPr>
        <w:pStyle w:val="TextBody"/>
        <w:bidi w:val="0"/>
        <w:spacing w:before="240" w:after="0"/>
        <w:jc w:val="left"/>
        <w:rPr>
          <w:rFonts w:ascii="Times New Roman" w:hAnsi="Times New Roman"/>
          <w:sz w:val="20"/>
        </w:rPr>
      </w:pPr>
      <w:r>
        <w:rPr>
          <w:rFonts w:ascii="Times New Roman" w:hAnsi="Times New Roman"/>
          <w:sz w:val="20"/>
        </w:rPr>
        <w:t xml:space="preserve">Open Compute confirmed the challenges of VRs and IVRs. In addition to infringing patents to 1st GEN VPD, VRs and IVRs face electrical, mechanical and thermal barriers to escalating AI processor requirements. In private presentations and lab sessions with OEMs and Hyperscalers, we demonstrated the distinct advantages of Vicor’s 2nd GEN VPD. Participants paid attention, providing positive feedback and interest in engaging. The stage is set for broader adoption of high performance ALL-FPA current multiplier modules which enable 2nd GEN VPD. </w:t>
      </w:r>
    </w:p>
    <w:p>
      <w:pPr>
        <w:pStyle w:val="TextBody"/>
        <w:bidi w:val="0"/>
        <w:spacing w:before="240" w:after="0"/>
        <w:jc w:val="left"/>
        <w:rPr>
          <w:rFonts w:ascii="Times New Roman" w:hAnsi="Times New Roman"/>
          <w:sz w:val="20"/>
        </w:rPr>
      </w:pPr>
      <w:r>
        <w:rPr>
          <w:rFonts w:ascii="Times New Roman" w:hAnsi="Times New Roman"/>
          <w:sz w:val="20"/>
        </w:rPr>
        <w:t xml:space="preserve">On the licensing front, we granted our first VPD license to an AI OEM at Stage-2 unit royalty rates. Unlicensed OEMs and Hyperscalers may not have realized the implications of importing, or planning to import, computing systems infringing Vicor patents to VPD. The ITC decision to institute an investigation into VPD infringement is catching their attention, prompting inquiries about licenses at royalty rates that strongly favor early adopters.”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on Vicor and its products, please visit the Company’s website at </w:t>
      </w:r>
      <w:r>
        <w:rPr>
          <w:rFonts w:ascii="Times New Roman" w:hAnsi="Times New Roman"/>
          <w:sz w:val="20"/>
          <w:u w:val="single"/>
        </w:rPr>
        <w:t>www.vicorpower.com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Vicor will be holding its investor conference call today, Tuesday, October 20, 2026 at 8:00 a.m. Eastern Time. Vicor encourages investors and analysts who intend to ask questions via the conference call to register with Notified, the service provider hosting the conference call. Those registering on </w:t>
      </w:r>
      <w:r>
        <w:rPr>
          <w:rFonts w:ascii="Times New Roman" w:hAnsi="Times New Roman"/>
          <w:sz w:val="20"/>
          <w:u w:val="single"/>
        </w:rPr>
        <w:t>Notified’s website</w:t>
      </w:r>
      <w:r>
        <w:rPr>
          <w:rFonts w:ascii="Times New Roman" w:hAnsi="Times New Roman"/>
          <w:sz w:val="20"/>
        </w:rPr>
        <w:t xml:space="preserve"> will receive dial-in info and a unique PIN to join the call as well as an email confirmation with the details. Registration may be completed at any time prior to 8:00 a.m. on October 20, 2026. For those parties interested in listen-only mode, the conference call will be webcast via a link that will be posted on the </w:t>
      </w:r>
      <w:r>
        <w:rPr>
          <w:rFonts w:ascii="Times New Roman" w:hAnsi="Times New Roman"/>
          <w:sz w:val="20"/>
          <w:u w:val="single"/>
        </w:rPr>
        <w:t>Investor Relations page of Vicor’s website</w:t>
      </w:r>
      <w:r>
        <w:rPr>
          <w:rFonts w:ascii="Times New Roman" w:hAnsi="Times New Roman"/>
          <w:sz w:val="20"/>
        </w:rPr>
        <w:t xml:space="preserve"> prior to the conference call. Please access the website at least 15 minutes prior to the conference call to register and, if necessary, download and install any required software. For those who cannot participate in the live conference call, a webcast replay of the conference call will also be available on the Investor Relations page of Vicor’s website.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certain forward-looking statements within the meaning of Section 27A of the Securities Act of 1933, as amended, and Section 21E of the Securities Exchange Act of 1934, as amended. Any statement in this press release that is not a statement of historical fact is a forward-looking statement, and, the words “believes,” “expects,” “anticipates,” “intends,” “estimates,” “plans,” “assumes,” “may,” “will,” “would,” “should,” “continue,” “prospective,” “project,” and other similar expressions identify forward-looking statements. Forward-looking statements also include statements regarding bookings, shipments, revenue, profitability, targeted markets, increase in manufacturing capacity and utilization thereof, future products and capital resources. These statements are based upon management’s current expectations and estimates as to the prospective events and circumstances that may or may not be within the company’s control and as to which there can be no assurance. Actual results could differ materially from those projected in the forward-looking statements as a result of various factors, including those economic, business, operational and financial considerations set forth in Vicor’s Annual Report on Form 10-K for the year ended December 31, 2025, under Part I, Item I — “Business,” under Part I, Item 1A — “Risk Factors,” under Part I, Item 3 — “Legal Proceedings,” and under Part II, Item 7 — “Management’s Discussion and Analysis of Financial Condition and Results of Operations.” The risk factors set forth in the Annual Report on Form 10-K may not be exhaustive. Therefore, the information contained in the Annual Report on Form 10-K should be read together with other reports and documents filed with the Securities and Exchange Commission from time to time, including Forms 10-Q, 8-K and 10-K, which may supplement, modify, supersede or update those risk factors. Vicor does not undertake any obligation to update any forward-looking statements as a result of future events or developments. </w:t>
      </w:r>
    </w:p>
    <w:p>
      <w:pPr>
        <w:pStyle w:val="TextBody"/>
        <w:bidi w:val="0"/>
        <w:spacing w:before="240" w:after="0"/>
        <w:jc w:val="left"/>
        <w:rPr>
          <w:rFonts w:ascii="Times New Roman" w:hAnsi="Times New Roman"/>
          <w:i/>
          <w:sz w:val="20"/>
        </w:rPr>
      </w:pPr>
      <w:r>
        <w:rPr>
          <w:rFonts w:ascii="Times New Roman" w:hAnsi="Times New Roman"/>
          <w:i/>
          <w:sz w:val="20"/>
        </w:rPr>
        <w:t xml:space="preserve">Vicor designs, manufactures and markets modular power components and complete power systems based upon a portfolio of patented technologies. Vicor licenses its patents to OEMs and hyper-scalers needing supply chain assurance, flexibility and scalability. Headquartered in Andover, Massachusetts, Vicor modules and power system technology are used in high performance computing, industrial, transportation, aerospace and defense.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contact: </w:t>
      </w:r>
    </w:p>
    <w:p>
      <w:pPr>
        <w:pStyle w:val="TextBody"/>
        <w:bidi w:val="0"/>
        <w:spacing w:before="240" w:after="0"/>
        <w:jc w:val="left"/>
        <w:rPr>
          <w:rFonts w:ascii="Times New Roman" w:hAnsi="Times New Roman"/>
          <w:sz w:val="20"/>
        </w:rPr>
      </w:pPr>
      <w:r>
        <w:rPr>
          <w:rFonts w:ascii="Times New Roman" w:hAnsi="Times New Roman"/>
          <w:sz w:val="20"/>
        </w:rPr>
        <w:t xml:space="preserve">James F. Schmidt,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Office: (978) 470-2900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invrel@vicorpower.com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VICOR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 OF OPERATIONS </w:t>
      </w:r>
    </w:p>
    <w:p>
      <w:pPr>
        <w:pStyle w:val="TextBody"/>
        <w:bidi w:val="0"/>
        <w:spacing w:before="0" w:after="0"/>
        <w:jc w:val="left"/>
        <w:rPr>
          <w:rFonts w:ascii="Times New Roman" w:hAnsi="Times New Roman"/>
          <w:b/>
          <w:sz w:val="20"/>
        </w:rPr>
      </w:pPr>
      <w:r>
        <w:rPr>
          <w:rFonts w:ascii="Times New Roman" w:hAnsi="Times New Roman"/>
          <w:b/>
          <w:sz w:val="20"/>
        </w:rPr>
        <w:t xml:space="preserve">(Thousands except for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5"/>
        <w:gridCol w:w="144"/>
        <w:gridCol w:w="140"/>
        <w:gridCol w:w="814"/>
        <w:gridCol w:w="60"/>
        <w:gridCol w:w="144"/>
        <w:gridCol w:w="140"/>
        <w:gridCol w:w="814"/>
        <w:gridCol w:w="155"/>
        <w:gridCol w:w="99"/>
        <w:gridCol w:w="182"/>
        <w:gridCol w:w="1050"/>
        <w:gridCol w:w="77"/>
        <w:gridCol w:w="170"/>
        <w:gridCol w:w="182"/>
        <w:gridCol w:w="1053"/>
        <w:gridCol w:w="66"/>
      </w:tblGrid>
      <w:tr>
        <w:trPr/>
        <w:tc>
          <w:tcPr>
            <w:tcW w:w="491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12" w:type="dxa"/>
            <w:gridSpan w:val="6"/>
            <w:tcBorders>
              <w:bottom w:val="single" w:sz="8" w:space="0" w:color="000000"/>
            </w:tcBorders>
            <w:tcMar>
              <w:bottom w:w="28" w:type="dxa"/>
            </w:tcMar>
            <w:vAlign w:val="bottom"/>
          </w:tcPr>
          <w:p>
            <w:pPr>
              <w:pStyle w:val="TableContents"/>
              <w:bidi w:val="0"/>
              <w:spacing w:before="0" w:after="283"/>
              <w:jc w:val="center"/>
              <w:rPr/>
            </w:pPr>
            <w:r>
              <w:rPr>
                <w:b/>
              </w:rPr>
              <w:t>QUARTER ENDED</w:t>
            </w:r>
            <w:r>
              <w:rPr/>
              <w:br/>
            </w:r>
            <w:r>
              <w:rPr>
                <w:b/>
              </w:rPr>
              <w:t>(Unaudited)</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714"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(Unaudited)</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2025</w:t>
            </w:r>
          </w:p>
        </w:tc>
        <w:tc>
          <w:tcPr>
            <w:tcW w:w="66" w:type="dxa"/>
            <w:tcBorders/>
            <w:vAlign w:val="bottom"/>
          </w:tcPr>
          <w:p>
            <w:pPr>
              <w:pStyle w:val="TableContents"/>
              <w:bidi w:val="0"/>
              <w:spacing w:before="0" w:after="283"/>
              <w:jc w:val="left"/>
              <w:rPr/>
            </w:pPr>
            <w:r>
              <w:rPr/>
              <w:t> </w:t>
            </w:r>
          </w:p>
        </w:tc>
      </w:tr>
      <w:tr>
        <w:trPr/>
        <w:tc>
          <w:tcPr>
            <w:tcW w:w="49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Product revenue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130,501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88,698</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1050" w:type="dxa"/>
            <w:tcBorders/>
            <w:shd w:fill="CCEEFF" w:val="clear"/>
            <w:vAlign w:val="bottom"/>
          </w:tcPr>
          <w:p>
            <w:pPr>
              <w:pStyle w:val="TableContents"/>
              <w:bidi w:val="0"/>
              <w:spacing w:before="0" w:after="283"/>
              <w:jc w:val="right"/>
              <w:rPr>
                <w:b/>
              </w:rPr>
            </w:pPr>
            <w:r>
              <w:rPr>
                <w:b/>
              </w:rPr>
              <w:t>341,431</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1053" w:type="dxa"/>
            <w:tcBorders/>
            <w:shd w:fill="CCEEFF" w:val="clear"/>
            <w:vAlign w:val="bottom"/>
          </w:tcPr>
          <w:p>
            <w:pPr>
              <w:pStyle w:val="TableContents"/>
              <w:bidi w:val="0"/>
              <w:spacing w:before="0" w:after="283"/>
              <w:jc w:val="right"/>
              <w:rPr>
                <w:b/>
              </w:rPr>
            </w:pPr>
            <w:r>
              <w:rPr>
                <w:b/>
              </w:rPr>
              <w:t>257,597</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Royalty revenue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66,613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21,725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112,004</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42,840</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197,114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110,423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453,435</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300,437</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Patent litigation settlement</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45,000</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revenues and patent litigation settlement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197,114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110,423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453,435</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345,437</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Cost of product revenues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62,434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46,910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173,269</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145,431</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134,680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63,513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280,166</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200,006</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general and administrative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38,563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22,747</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89,356</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75,836</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and development</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23,969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19,859</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66,900</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58,027</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62,532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42,606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156,256</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133,863</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72,148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20,907</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123,910</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66,143</w:t>
            </w:r>
          </w:p>
        </w:tc>
        <w:tc>
          <w:tcPr>
            <w:tcW w:w="66" w:type="dxa"/>
            <w:tcBorders/>
            <w:vAlign w:val="bottom"/>
          </w:tcPr>
          <w:p>
            <w:pPr>
              <w:pStyle w:val="TableContents"/>
              <w:bidi w:val="0"/>
              <w:spacing w:before="0" w:after="283"/>
              <w:jc w:val="left"/>
              <w:rPr/>
            </w:pPr>
            <w:r>
              <w:rPr/>
              <w:t> </w:t>
            </w:r>
          </w:p>
        </w:tc>
      </w:tr>
      <w:tr>
        <w:trPr/>
        <w:tc>
          <w:tcPr>
            <w:tcW w:w="49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 (expense), net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6,585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2,407</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14,149</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9,198</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78,733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23,314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138,059</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75,341</w:t>
            </w:r>
          </w:p>
        </w:tc>
        <w:tc>
          <w:tcPr>
            <w:tcW w:w="66" w:type="dxa"/>
            <w:tcBorders/>
            <w:vAlign w:val="bottom"/>
          </w:tcPr>
          <w:p>
            <w:pPr>
              <w:pStyle w:val="TableContents"/>
              <w:bidi w:val="0"/>
              <w:spacing w:before="0" w:after="283"/>
              <w:jc w:val="left"/>
              <w:rPr/>
            </w:pPr>
            <w:r>
              <w:rPr/>
              <w:t> </w:t>
            </w:r>
          </w:p>
        </w:tc>
      </w:tr>
      <w:tr>
        <w:trPr/>
        <w:tc>
          <w:tcPr>
            <w:tcW w:w="49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Less: Provision (benefit) for income taxes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15,401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(4,988</w:t>
            </w:r>
          </w:p>
        </w:tc>
        <w:tc>
          <w:tcPr>
            <w:tcW w:w="155" w:type="dxa"/>
            <w:tcBorders/>
            <w:shd w:fill="CCEEFF" w:val="clear"/>
            <w:vAlign w:val="bottom"/>
          </w:tcPr>
          <w:p>
            <w:pPr>
              <w:pStyle w:val="TableContents"/>
              <w:bidi w:val="0"/>
              <w:spacing w:before="0" w:after="283"/>
              <w:jc w:val="left"/>
              <w:rPr>
                <w:b/>
              </w:rPr>
            </w:pPr>
            <w:r>
              <w:rPr>
                <w:b/>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4,265</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3,278</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net income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63,332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28,302</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133,794</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72,063</w:t>
            </w:r>
          </w:p>
        </w:tc>
        <w:tc>
          <w:tcPr>
            <w:tcW w:w="66"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10</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37</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40</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0"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Vicor Corporation</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63,321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28,292</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1050" w:type="dxa"/>
            <w:tcBorders/>
            <w:vAlign w:val="bottom"/>
          </w:tcPr>
          <w:p>
            <w:pPr>
              <w:pStyle w:val="TableContents"/>
              <w:bidi w:val="0"/>
              <w:spacing w:before="0" w:after="283"/>
              <w:jc w:val="right"/>
              <w:rPr>
                <w:b/>
              </w:rPr>
            </w:pPr>
            <w:r>
              <w:rPr>
                <w:b/>
              </w:rPr>
              <w:t>133,757</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1053" w:type="dxa"/>
            <w:tcBorders/>
            <w:vAlign w:val="bottom"/>
          </w:tcPr>
          <w:p>
            <w:pPr>
              <w:pStyle w:val="TableContents"/>
              <w:bidi w:val="0"/>
              <w:spacing w:before="0" w:after="283"/>
              <w:jc w:val="right"/>
              <w:rPr>
                <w:b/>
              </w:rPr>
            </w:pPr>
            <w:r>
              <w:rPr>
                <w:b/>
              </w:rPr>
              <w:t>72,023</w:t>
            </w:r>
          </w:p>
        </w:tc>
        <w:tc>
          <w:tcPr>
            <w:tcW w:w="66"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50" w:type="dxa"/>
            <w:tcBorders/>
            <w:vAlign w:val="bottom"/>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Vicor Corporation:</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Basic</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1.37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0.63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1050" w:type="dxa"/>
            <w:tcBorders/>
            <w:vAlign w:val="bottom"/>
          </w:tcPr>
          <w:p>
            <w:pPr>
              <w:pStyle w:val="TableContents"/>
              <w:bidi w:val="0"/>
              <w:spacing w:before="0" w:after="283"/>
              <w:jc w:val="right"/>
              <w:rPr>
                <w:b/>
              </w:rPr>
            </w:pPr>
            <w:r>
              <w:rPr>
                <w:b/>
              </w:rPr>
              <w:t>2.92</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1053" w:type="dxa"/>
            <w:tcBorders/>
            <w:vAlign w:val="bottom"/>
          </w:tcPr>
          <w:p>
            <w:pPr>
              <w:pStyle w:val="TableContents"/>
              <w:bidi w:val="0"/>
              <w:spacing w:before="0" w:after="283"/>
              <w:jc w:val="right"/>
              <w:rPr>
                <w:b/>
              </w:rPr>
            </w:pPr>
            <w:r>
              <w:rPr>
                <w:b/>
              </w:rPr>
              <w:t>1.60</w:t>
            </w:r>
          </w:p>
        </w:tc>
        <w:tc>
          <w:tcPr>
            <w:tcW w:w="66"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0.63</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1050" w:type="dxa"/>
            <w:tcBorders/>
            <w:shd w:fill="CCEEFF" w:val="clear"/>
            <w:vAlign w:val="bottom"/>
          </w:tcPr>
          <w:p>
            <w:pPr>
              <w:pStyle w:val="TableContents"/>
              <w:bidi w:val="0"/>
              <w:spacing w:before="0" w:after="283"/>
              <w:jc w:val="right"/>
              <w:rPr>
                <w:b/>
              </w:rPr>
            </w:pPr>
            <w:r>
              <w:rPr>
                <w:b/>
              </w:rPr>
              <w:t>2.81</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1053" w:type="dxa"/>
            <w:tcBorders/>
            <w:shd w:fill="CCEEFF" w:val="clear"/>
            <w:vAlign w:val="bottom"/>
          </w:tcPr>
          <w:p>
            <w:pPr>
              <w:pStyle w:val="TableContents"/>
              <w:bidi w:val="0"/>
              <w:spacing w:before="0" w:after="283"/>
              <w:jc w:val="right"/>
              <w:rPr>
                <w:b/>
              </w:rPr>
            </w:pPr>
            <w:r>
              <w:rPr>
                <w:b/>
              </w:rPr>
              <w:t>1.59</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Shares outstanding:</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46,129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44,734</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b/>
              </w:rPr>
            </w:pPr>
            <w:r>
              <w:rPr>
                <w:b/>
              </w:rPr>
              <w:t>45,845</w:t>
            </w:r>
          </w:p>
        </w:tc>
        <w:tc>
          <w:tcPr>
            <w:tcW w:w="7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b/>
              </w:rPr>
            </w:pPr>
            <w:r>
              <w:rPr>
                <w:b/>
              </w:rPr>
              <w:t>44,986</w:t>
            </w:r>
          </w:p>
        </w:tc>
        <w:tc>
          <w:tcPr>
            <w:tcW w:w="66"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47,609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44,930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b/>
              </w:rPr>
            </w:pPr>
            <w:r>
              <w:rPr>
                <w:b/>
              </w:rPr>
              <w:t>47,524</w:t>
            </w:r>
          </w:p>
        </w:tc>
        <w:tc>
          <w:tcPr>
            <w:tcW w:w="7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45,167</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VICOR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BALANCE SHEET </w:t>
      </w:r>
    </w:p>
    <w:p>
      <w:pPr>
        <w:pStyle w:val="TextBody"/>
        <w:bidi w:val="0"/>
        <w:spacing w:before="0" w:after="0"/>
        <w:jc w:val="left"/>
        <w:rPr>
          <w:rFonts w:ascii="Times New Roman" w:hAnsi="Times New Roman"/>
          <w:b/>
          <w:sz w:val="20"/>
        </w:rPr>
      </w:pPr>
      <w:r>
        <w:rPr>
          <w:rFonts w:ascii="Times New Roman" w:hAnsi="Times New Roman"/>
          <w:b/>
          <w:sz w:val="20"/>
        </w:rPr>
        <w:t xml:space="preserve">(Thousands)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9"/>
        <w:gridCol w:w="152"/>
        <w:gridCol w:w="162"/>
        <w:gridCol w:w="1021"/>
        <w:gridCol w:w="155"/>
        <w:gridCol w:w="114"/>
        <w:gridCol w:w="162"/>
        <w:gridCol w:w="1021"/>
        <w:gridCol w:w="159"/>
      </w:tblGrid>
      <w:tr>
        <w:trPr/>
        <w:tc>
          <w:tcPr>
            <w:tcW w:w="725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br/>
              <w:t>(Unaudited)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2025</w:t>
              <w:br/>
              <w:t>(Unaudited)</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513,137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402,805</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Accounts receivable, net</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122,488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60,716</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Inventories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110,922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91,340</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current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13,594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32,502</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760,141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587,363</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Long-term deferred tax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23,439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27,463</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Long-term investment, net</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2,462</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Property, plant and equipment, net</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177,987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147,690</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20,053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20,853</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981,620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785,831</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Accounts payable</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24,334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12,290</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Accrued compensation and benefits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14,047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12,031</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expenses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22,223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3,691</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Accrued litigation</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28,275</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allowances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3,512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3,136</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Short-term lease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1,733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1,568</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 payable</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904</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Short-term deferred revenue and customer prepayments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418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3,426</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66,475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65,321</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Long-term income taxes payable</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3,143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3,086</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Long-term lease liabilities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5,427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5,608</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75,045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74,015</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Vicor Corporation stockholders’ equity:</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stock</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518,247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462,805</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Retained earnings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555,116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421,359</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Accumulated other comprehensive loss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(1,174</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(1,672</w:t>
            </w:r>
          </w:p>
        </w:tc>
        <w:tc>
          <w:tcPr>
            <w:tcW w:w="159" w:type="dxa"/>
            <w:tcBorders/>
            <w:shd w:fill="CCEEFF" w:val="clear"/>
            <w:vAlign w:val="bottom"/>
          </w:tcPr>
          <w:p>
            <w:pPr>
              <w:pStyle w:val="TableContents"/>
              <w:bidi w:val="0"/>
              <w:spacing w:before="0" w:after="283"/>
              <w:jc w:val="left"/>
              <w:rPr>
                <w:b/>
              </w:rPr>
            </w:pPr>
            <w:r>
              <w:rPr>
                <w:b/>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Treasury stock</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(165,909</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(170,935</w:t>
            </w:r>
          </w:p>
        </w:tc>
        <w:tc>
          <w:tcPr>
            <w:tcW w:w="159" w:type="dxa"/>
            <w:tcBorders/>
            <w:vAlign w:val="bottom"/>
          </w:tcPr>
          <w:p>
            <w:pPr>
              <w:pStyle w:val="TableContents"/>
              <w:bidi w:val="0"/>
              <w:spacing w:before="0" w:after="283"/>
              <w:jc w:val="left"/>
              <w:rPr>
                <w:b/>
              </w:rPr>
            </w:pPr>
            <w:r>
              <w:rPr>
                <w:b/>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Vicor Corporation stockholders’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906,280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711,557</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295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259</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906,575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711,816</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981,620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785,831</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2084</Words>
  <Characters>11728</Characters>
  <CharactersWithSpaces>14407</CharactersWithSpaces>
  <Paragraphs>1060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