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827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8270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VINCIARELLI PATRIZIO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36" w:lineRule="auto"/>
        <w:rPr>
          <w:sz w:val="20"/>
          <w:szCs w:val="20"/>
          <w:color w:val="auto"/>
        </w:rPr>
      </w:pPr>
      <w:r>
        <w:rPr>
          <w:rFonts w:ascii="Times New Roman" w:cs="Times New Roman" w:eastAsia="Times New Roman" w:hAnsi="Times New Roman"/>
          <w:sz w:val="17"/>
          <w:szCs w:val="17"/>
          <w:color w:val="0000FF"/>
        </w:rPr>
        <w:t>C/O VICOR CORPORATION 25 FRONTAGE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jc w:val="center"/>
              <w:ind w:right="1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167,125</w:t>
            </w:r>
          </w:p>
        </w:tc>
        <w:tc>
          <w:tcPr>
            <w:tcW w:w="28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401</w:t>
            </w:r>
          </w:p>
        </w:tc>
        <w:tc>
          <w:tcPr>
            <w:tcW w:w="4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296.1176</w:t>
            </w:r>
            <w:r>
              <w:rPr>
                <w:rFonts w:ascii="Times New Roman" w:cs="Times New Roman" w:eastAsia="Times New Roman" w:hAnsi="Times New Roman"/>
                <w:sz w:val="22"/>
                <w:szCs w:val="22"/>
                <w:color w:val="008000"/>
                <w:w w:val="95"/>
                <w:vertAlign w:val="superscript"/>
              </w:rPr>
              <w:t>(3)</w:t>
            </w: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8,627,689</w:t>
            </w:r>
          </w:p>
        </w:tc>
        <w:tc>
          <w:tcPr>
            <w:tcW w:w="2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gridSpan w:val="2"/>
          </w:tcPr>
          <w:p>
            <w:pPr>
              <w:jc w:val="center"/>
              <w:ind w:left="10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297.18</w:t>
            </w:r>
            <w:r>
              <w:rPr>
                <w:rFonts w:ascii="Times New Roman" w:cs="Times New Roman" w:eastAsia="Times New Roman" w:hAnsi="Times New Roman"/>
                <w:sz w:val="22"/>
                <w:szCs w:val="22"/>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8,627,590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279</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299.0075</w:t>
            </w:r>
            <w:r>
              <w:rPr>
                <w:rFonts w:ascii="Times New Roman" w:cs="Times New Roman" w:eastAsia="Times New Roman" w:hAnsi="Times New Roman"/>
                <w:sz w:val="22"/>
                <w:szCs w:val="22"/>
                <w:color w:val="008000"/>
                <w:w w:val="97"/>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8,627,311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797</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gridSpan w:val="2"/>
          </w:tcPr>
          <w:p>
            <w:pPr>
              <w:jc w:val="center"/>
              <w:ind w:left="10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299.884</w:t>
            </w:r>
            <w:r>
              <w:rPr>
                <w:rFonts w:ascii="Times New Roman" w:cs="Times New Roman" w:eastAsia="Times New Roman" w:hAnsi="Times New Roman"/>
                <w:sz w:val="22"/>
                <w:szCs w:val="22"/>
                <w:color w:val="008000"/>
                <w:w w:val="95"/>
                <w:vertAlign w:val="superscript"/>
              </w:rPr>
              <w:t>(6)</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8,626,514</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944</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300.9437</w:t>
            </w:r>
            <w:r>
              <w:rPr>
                <w:rFonts w:ascii="Times New Roman" w:cs="Times New Roman" w:eastAsia="Times New Roman" w:hAnsi="Times New Roman"/>
                <w:sz w:val="22"/>
                <w:szCs w:val="22"/>
                <w:color w:val="008000"/>
                <w:w w:val="97"/>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8,625,570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589</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302.1446</w:t>
            </w:r>
            <w:r>
              <w:rPr>
                <w:rFonts w:ascii="Times New Roman" w:cs="Times New Roman" w:eastAsia="Times New Roman" w:hAnsi="Times New Roman"/>
                <w:sz w:val="22"/>
                <w:szCs w:val="22"/>
                <w:color w:val="008000"/>
                <w:w w:val="97"/>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8,624,981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4,716</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303.5916</w:t>
            </w:r>
            <w:r>
              <w:rPr>
                <w:rFonts w:ascii="Times New Roman" w:cs="Times New Roman" w:eastAsia="Times New Roman" w:hAnsi="Times New Roman"/>
                <w:sz w:val="22"/>
                <w:szCs w:val="22"/>
                <w:color w:val="008000"/>
                <w:w w:val="97"/>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8,620,265</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1,591</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304.4692</w:t>
            </w:r>
            <w:r>
              <w:rPr>
                <w:rFonts w:ascii="Times New Roman" w:cs="Times New Roman" w:eastAsia="Times New Roman" w:hAnsi="Times New Roman"/>
                <w:sz w:val="22"/>
                <w:szCs w:val="22"/>
                <w:color w:val="008000"/>
                <w:w w:val="94"/>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8,618,674</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2,252</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305.349</w:t>
            </w:r>
            <w:r>
              <w:rPr>
                <w:rFonts w:ascii="Times New Roman" w:cs="Times New Roman" w:eastAsia="Times New Roman" w:hAnsi="Times New Roman"/>
                <w:sz w:val="22"/>
                <w:szCs w:val="22"/>
                <w:color w:val="008000"/>
                <w:w w:val="94"/>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8,616,422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3,382</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306.369</w:t>
            </w:r>
            <w:r>
              <w:rPr>
                <w:rFonts w:ascii="Times New Roman" w:cs="Times New Roman" w:eastAsia="Times New Roman" w:hAnsi="Times New Roman"/>
                <w:sz w:val="22"/>
                <w:szCs w:val="22"/>
                <w:color w:val="008000"/>
                <w:w w:val="94"/>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8,613,040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2,443</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307.4799</w:t>
            </w:r>
            <w:r>
              <w:rPr>
                <w:rFonts w:ascii="Times New Roman" w:cs="Times New Roman" w:eastAsia="Times New Roman" w:hAnsi="Times New Roman"/>
                <w:sz w:val="22"/>
                <w:szCs w:val="22"/>
                <w:color w:val="008000"/>
                <w:w w:val="94"/>
                <w:vertAlign w:val="superscript"/>
              </w:rPr>
              <w:t>(13)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8,610,597</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1,707</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308.3358</w:t>
            </w:r>
            <w:r>
              <w:rPr>
                <w:rFonts w:ascii="Times New Roman" w:cs="Times New Roman" w:eastAsia="Times New Roman" w:hAnsi="Times New Roman"/>
                <w:sz w:val="22"/>
                <w:szCs w:val="22"/>
                <w:color w:val="008000"/>
                <w:w w:val="94"/>
                <w:vertAlign w:val="superscript"/>
              </w:rPr>
              <w:t>(14)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8,608,890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2"/>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309.1963</w:t>
            </w:r>
            <w:r>
              <w:rPr>
                <w:rFonts w:ascii="Times New Roman" w:cs="Times New Roman" w:eastAsia="Times New Roman" w:hAnsi="Times New Roman"/>
                <w:sz w:val="22"/>
                <w:szCs w:val="22"/>
                <w:color w:val="008000"/>
                <w:w w:val="94"/>
                <w:vertAlign w:val="superscript"/>
              </w:rPr>
              <w:t>(15)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8,608,090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reporting person as Trustee of the Patrizio Vinciarelli Irrevocable Trust U/A Dated 12/21/2012, established for the benefit of the child of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on February 26, 2026.</w:t>
      </w:r>
    </w:p>
    <w:p>
      <w:pPr>
        <w:spacing w:after="0" w:line="5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$295.97 and $296.72.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(15) to this Form 4.</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$297.18 and $297.18.</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$298.46 and $299.43.</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$299.53 and $300.51.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$300.61 and $301.51.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$301.745 and $302.67.</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$302.89 and $303.87.</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$303.92 and $304.86.</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$304.93 and $305.92.</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$305.93 and $306.915.</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$307.00 and $307.99.</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$308.00 and $308.82.</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$309.01 and $309.33.</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/s/Quentin A. Fendelet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 in fact for Patrizio</w:t>
        <w:tab/>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Vinciarelli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63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01484" TargetMode="External"/><Relationship Id="rId14" Type="http://schemas.openxmlformats.org/officeDocument/2006/relationships/hyperlink" Target="http://www.sec.gov/cgi-bin/browse-edgar?action=getcompany&amp;CIK=0000751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2026-06-16T12:36:30Z</dcterms:created>
  <dcterms:modified xsi:type="dcterms:W3CDTF">2026-06-16T12:36:30Z</dcterms:modified>
</cp:coreProperties>
</file>