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571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57186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VINCIARELLI PATRIZIO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FRONTAGE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VICOR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VICR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gridSpan w:val="8"/>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20" w:type="dxa"/>
            <w:vAlign w:val="bottom"/>
            <w:gridSpan w:val="8"/>
            <w:vMerge w:val="continue"/>
          </w:tcPr>
          <w:p>
            <w:pPr>
              <w:spacing w:after="0"/>
              <w:rPr>
                <w:sz w:val="10"/>
                <w:szCs w:val="10"/>
                <w:color w:val="auto"/>
              </w:rPr>
            </w:pPr>
          </w:p>
        </w:tc>
        <w:tc>
          <w:tcPr>
            <w:tcW w:w="33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ANDOVER</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01810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jc w:val="center"/>
              <w:ind w:left="2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167,125</w:t>
            </w:r>
          </w:p>
        </w:tc>
        <w:tc>
          <w:tcPr>
            <w:tcW w:w="28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92</w:t>
            </w:r>
          </w:p>
        </w:tc>
        <w:tc>
          <w:tcPr>
            <w:tcW w:w="4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354.45</w:t>
            </w:r>
            <w:r>
              <w:rPr>
                <w:rFonts w:ascii="Times New Roman" w:cs="Times New Roman" w:eastAsia="Times New Roman" w:hAnsi="Times New Roman"/>
                <w:sz w:val="22"/>
                <w:szCs w:val="22"/>
                <w:color w:val="008000"/>
                <w:w w:val="95"/>
                <w:vertAlign w:val="superscript"/>
              </w:rPr>
              <w:t>(3)</w:t>
            </w: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8,407,998</w:t>
            </w:r>
          </w:p>
        </w:tc>
        <w:tc>
          <w:tcPr>
            <w:tcW w:w="2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108</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356.2191</w:t>
            </w:r>
            <w:r>
              <w:rPr>
                <w:rFonts w:ascii="Times New Roman" w:cs="Times New Roman" w:eastAsia="Times New Roman" w:hAnsi="Times New Roman"/>
                <w:sz w:val="22"/>
                <w:szCs w:val="22"/>
                <w:color w:val="008000"/>
                <w:w w:val="97"/>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8,407,890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360.05</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8,407,290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363.69</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8,407,090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365.155</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8,406,890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369.258</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8,405,890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370.6174</w:t>
            </w:r>
            <w:r>
              <w:rPr>
                <w:rFonts w:ascii="Times New Roman" w:cs="Times New Roman" w:eastAsia="Times New Roman" w:hAnsi="Times New Roman"/>
                <w:sz w:val="22"/>
                <w:szCs w:val="22"/>
                <w:color w:val="008000"/>
                <w:w w:val="97"/>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8,404,090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371.6648</w:t>
            </w:r>
            <w:r>
              <w:rPr>
                <w:rFonts w:ascii="Times New Roman" w:cs="Times New Roman" w:eastAsia="Times New Roman" w:hAnsi="Times New Roman"/>
                <w:sz w:val="22"/>
                <w:szCs w:val="22"/>
                <w:color w:val="008000"/>
                <w:w w:val="94"/>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8,402,090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1,855</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372.7793</w:t>
            </w:r>
            <w:r>
              <w:rPr>
                <w:rFonts w:ascii="Times New Roman" w:cs="Times New Roman" w:eastAsia="Times New Roman" w:hAnsi="Times New Roman"/>
                <w:sz w:val="22"/>
                <w:szCs w:val="22"/>
                <w:color w:val="008000"/>
                <w:w w:val="94"/>
                <w:vertAlign w:val="superscript"/>
              </w:rPr>
              <w:t>(11)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8,400,235</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1,245</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373.6135</w:t>
            </w:r>
            <w:r>
              <w:rPr>
                <w:rFonts w:ascii="Times New Roman" w:cs="Times New Roman" w:eastAsia="Times New Roman" w:hAnsi="Times New Roman"/>
                <w:sz w:val="22"/>
                <w:szCs w:val="22"/>
                <w:color w:val="008000"/>
                <w:w w:val="94"/>
                <w:vertAlign w:val="superscript"/>
              </w:rPr>
              <w:t>(12)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8,398,990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375.0936</w:t>
            </w:r>
            <w:r>
              <w:rPr>
                <w:rFonts w:ascii="Times New Roman" w:cs="Times New Roman" w:eastAsia="Times New Roman" w:hAnsi="Times New Roman"/>
                <w:sz w:val="22"/>
                <w:szCs w:val="22"/>
                <w:color w:val="008000"/>
                <w:w w:val="94"/>
                <w:vertAlign w:val="superscript"/>
              </w:rPr>
              <w:t>(13)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8,397,890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376.465</w:t>
            </w:r>
            <w:r>
              <w:rPr>
                <w:rFonts w:ascii="Times New Roman" w:cs="Times New Roman" w:eastAsia="Times New Roman" w:hAnsi="Times New Roman"/>
                <w:sz w:val="22"/>
                <w:szCs w:val="22"/>
                <w:color w:val="008000"/>
                <w:w w:val="94"/>
                <w:vertAlign w:val="superscript"/>
              </w:rPr>
              <w:t>(14)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8,397,690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2,118</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378.3038</w:t>
            </w:r>
            <w:r>
              <w:rPr>
                <w:rFonts w:ascii="Times New Roman" w:cs="Times New Roman" w:eastAsia="Times New Roman" w:hAnsi="Times New Roman"/>
                <w:sz w:val="22"/>
                <w:szCs w:val="22"/>
                <w:color w:val="008000"/>
                <w:w w:val="94"/>
                <w:vertAlign w:val="superscript"/>
              </w:rPr>
              <w:t>(15)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8,395,572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3,053</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379.2297</w:t>
            </w:r>
            <w:r>
              <w:rPr>
                <w:rFonts w:ascii="Times New Roman" w:cs="Times New Roman" w:eastAsia="Times New Roman" w:hAnsi="Times New Roman"/>
                <w:sz w:val="22"/>
                <w:szCs w:val="22"/>
                <w:color w:val="008000"/>
                <w:w w:val="94"/>
                <w:vertAlign w:val="superscript"/>
              </w:rPr>
              <w:t>(16)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8,392,519</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3,118</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379.9844</w:t>
            </w:r>
            <w:r>
              <w:rPr>
                <w:rFonts w:ascii="Times New Roman" w:cs="Times New Roman" w:eastAsia="Times New Roman" w:hAnsi="Times New Roman"/>
                <w:sz w:val="22"/>
                <w:szCs w:val="22"/>
                <w:color w:val="008000"/>
                <w:w w:val="94"/>
                <w:vertAlign w:val="superscript"/>
              </w:rPr>
              <w:t>(17)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8,389,401</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1,111</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381.1168</w:t>
            </w:r>
            <w:r>
              <w:rPr>
                <w:rFonts w:ascii="Times New Roman" w:cs="Times New Roman" w:eastAsia="Times New Roman" w:hAnsi="Times New Roman"/>
                <w:sz w:val="22"/>
                <w:szCs w:val="22"/>
                <w:color w:val="008000"/>
                <w:w w:val="94"/>
                <w:vertAlign w:val="superscript"/>
              </w:rPr>
              <w:t>(18)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8,388,290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382.275</w:t>
            </w:r>
            <w:r>
              <w:rPr>
                <w:rFonts w:ascii="Times New Roman" w:cs="Times New Roman" w:eastAsia="Times New Roman" w:hAnsi="Times New Roman"/>
                <w:sz w:val="22"/>
                <w:szCs w:val="22"/>
                <w:color w:val="008000"/>
                <w:w w:val="94"/>
                <w:vertAlign w:val="superscript"/>
              </w:rPr>
              <w:t>(19)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8,388,090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5"/>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40" w:type="dxa"/>
            <w:vAlign w:val="bottom"/>
            <w:gridSpan w:val="13"/>
          </w:tcPr>
          <w:p>
            <w:pPr>
              <w:jc w:val="cente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reporting person as Trustee of the Patrizio Vinciarelli Irrevocable Trust U/A Dated 12/21/2012, established for the benefit of the child of the reporting person.</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adopted by the reporting person on February 26, 2026.</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$354.4500 and $354.4500.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(19)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$355.6900 and $356.2900.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$360.0500 and $360.0500.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$363.6800 and $363.7000.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$365.1400 and $ 365.1700.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$369.0200 and $369.8400.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$370.0800 and $371.0000.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$371.3300 and $372.2800.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$372.4500 and $373.4400.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$373.4700 and $374.3300.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$374.5300 and $375.5100.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$376.4500 and $376.4800.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$377.7200 and $378.7100.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$378.7300 and $379.7200.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$379.7300 and $380.6400.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$380.7900 and $381.6500.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$382.1800 and $382.3700.</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/s/Quentin A. Fendelet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98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 in Fact for Patrizio</w:t>
        <w:tab/>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Vinciarelli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63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355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0901484" TargetMode="External"/><Relationship Id="rId14" Type="http://schemas.openxmlformats.org/officeDocument/2006/relationships/hyperlink" Target="http://www.sec.gov/cgi-bin/browse-edgar?action=getcompany&amp;CIK=0000751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2026-07-01T09:37:59Z</dcterms:created>
  <dcterms:modified xsi:type="dcterms:W3CDTF">2026-07-01T09:37:59Z</dcterms:modified>
</cp:coreProperties>
</file>