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Davies Philip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FRONTAGE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ANDOVER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VICOR CORP</w:t>
              </w:r>
            </w:hyperlink>
            <w:r>
              <w:rPr/>
              <w:t xml:space="preserve"> [ </w:t>
            </w:r>
            <w:r>
              <w:rPr>
                <w:rFonts w:ascii="Times;serif" w:hAnsi="Times;serif"/>
                <w:color w:val="0000FF"/>
                <w:sz w:val="24"/>
                <w:shd w:fill="FFFFFF" w:val="clear"/>
              </w:rPr>
              <w:t>VICR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Corp. VP-Global Sales &amp; Mktg.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41.61</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4,992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307.085</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308.4879</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311.83</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313.2</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314.8367</w:t>
            </w:r>
            <w:r>
              <w:rPr>
                <w:rFonts w:ascii="Times;serif" w:hAnsi="Times;serif"/>
                <w:color w:val="008000"/>
                <w:position w:val="7"/>
                <w:sz w:val="16"/>
                <w:sz w:val="20"/>
                <w:shd w:fill="FFFFFF" w:val="clear"/>
              </w:rPr>
              <w:t>(6)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316.2567</w:t>
            </w:r>
            <w:r>
              <w:rPr>
                <w:rFonts w:ascii="Times;serif" w:hAnsi="Times;serif"/>
                <w:color w:val="008000"/>
                <w:position w:val="7"/>
                <w:sz w:val="16"/>
                <w:sz w:val="20"/>
                <w:shd w:fill="FFFFFF" w:val="clear"/>
              </w:rPr>
              <w:t>(7)</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317.324</w:t>
            </w:r>
            <w:r>
              <w:rPr>
                <w:rFonts w:ascii="Times;serif" w:hAnsi="Times;serif"/>
                <w:color w:val="008000"/>
                <w:position w:val="7"/>
                <w:sz w:val="16"/>
                <w:sz w:val="20"/>
                <w:shd w:fill="FFFFFF" w:val="clear"/>
              </w:rPr>
              <w:t>(8)</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318.295</w:t>
            </w:r>
            <w:r>
              <w:rPr>
                <w:rFonts w:ascii="Times;serif" w:hAnsi="Times;serif"/>
                <w:color w:val="008000"/>
                <w:position w:val="7"/>
                <w:sz w:val="16"/>
                <w:sz w:val="20"/>
                <w:shd w:fill="FFFFFF" w:val="clear"/>
              </w:rPr>
              <w:t>(9)</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319.6653</w:t>
            </w:r>
            <w:r>
              <w:rPr>
                <w:rFonts w:ascii="Times;serif" w:hAnsi="Times;serif"/>
                <w:color w:val="008000"/>
                <w:position w:val="7"/>
                <w:sz w:val="16"/>
                <w:sz w:val="20"/>
                <w:shd w:fill="FFFFFF" w:val="clear"/>
              </w:rPr>
              <w:t>(10)</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2,521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320.1776</w:t>
            </w:r>
            <w:r>
              <w:rPr>
                <w:rFonts w:ascii="Times;serif" w:hAnsi="Times;serif"/>
                <w:color w:val="008000"/>
                <w:position w:val="7"/>
                <w:sz w:val="16"/>
                <w:sz w:val="20"/>
                <w:shd w:fill="FFFFFF" w:val="clear"/>
              </w:rPr>
              <w:t>(11)</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322.025</w:t>
            </w:r>
            <w:r>
              <w:rPr>
                <w:rFonts w:ascii="Times;serif" w:hAnsi="Times;serif"/>
                <w:color w:val="008000"/>
                <w:position w:val="7"/>
                <w:sz w:val="16"/>
                <w:sz w:val="20"/>
                <w:shd w:fill="FFFFFF" w:val="clear"/>
              </w:rPr>
              <w:t>(12)</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09" w:type="dxa"/>
        <w:jc w:val="left"/>
        <w:tblInd w:w="-7" w:type="dxa"/>
        <w:tblLayout w:type="fixed"/>
        <w:tblCellMar>
          <w:top w:w="60" w:type="dxa"/>
          <w:left w:w="60" w:type="dxa"/>
          <w:bottom w:w="60" w:type="dxa"/>
          <w:right w:w="60" w:type="dxa"/>
        </w:tblCellMar>
      </w:tblPr>
      <w:tblGrid>
        <w:gridCol w:w="92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2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2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2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 Qualified Stock Option</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05/02/2028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7,678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2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 Qualified 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33.96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2,216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05/03/2027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35,646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trading plan adopted by the reporting person on November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$306.9900 and $307.1800. The reporting person undertakes to provide to Vicor Corporation, any security holder of Vicor Corporation, or the staff of the Securities and Exchange Commission, upon request, full information regarding the number of shares sold at each separate price within the ranges set forth in footnotes (2) through (12)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$308.3000 to $308.6400.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$311.8300 to $311.8300.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$313.2000 to $313.2000.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$314.6200 to $315.0700.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$315.6600 to $316.6000.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$317.0200 to $317.9000.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$318.0200 to $318.9200.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$319.0700 to $320.0000.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$320.0700 to $320.7000.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$321.7100 to $322.3200.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/s/Quentin A. Fendelet Attorney in Fact for Philip D. Davies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12868" TargetMode="External"/><Relationship Id="rId5" Type="http://schemas.openxmlformats.org/officeDocument/2006/relationships/hyperlink" Target="http://www.sec.gov/cgi-bin/browse-edgar?action=getcompany&amp;CIK=0000751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1068</Words>
  <Characters>5630</Characters>
  <CharactersWithSpaces>6500</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