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vicr-20260630.htm"/>
        <w:bookmarkStart w:id="1" w:name="ksvicr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QUARTERLY REPORT PURSUANT TO SECTION 13 OR 15(d) OF THE SECURITIES</w:t>
            </w:r>
            <w:r>
              <w:rPr>
                <w:rFonts w:ascii="Times New Roman" w:hAnsi="Times New Roman"/>
                <w:color w:val="000000"/>
                <w:sz w:val="24"/>
              </w:rPr>
              <w:t xml:space="preserve"> </w:t>
            </w:r>
            <w:r>
              <w:rPr>
                <w:rFonts w:ascii="Times New Roman" w:hAnsi="Times New Roman"/>
                <w:b/>
                <w:color w:val="000000"/>
                <w:sz w:val="24"/>
              </w:rPr>
              <w:t>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TRANSITION REPORT PURSUANT TO SECTION 13 OR 15(d) OF THE SECURITIES</w:t>
            </w:r>
            <w:r>
              <w:rPr>
                <w:rFonts w:ascii="Times New Roman" w:hAnsi="Times New Roman"/>
                <w:color w:val="000000"/>
                <w:sz w:val="24"/>
              </w:rPr>
              <w:t xml:space="preserve"> </w:t>
            </w:r>
            <w:r>
              <w:rPr>
                <w:rFonts w:ascii="Times New Roman" w:hAnsi="Times New Roman"/>
                <w:b/>
                <w:color w:val="000000"/>
                <w:sz w:val="24"/>
              </w:rPr>
              <w:t>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__________________________</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0-18277</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VICOR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spacing w:before="0" w:after="120"/>
        <w:jc w:val="center"/>
        <w:rPr/>
      </w:pPr>
      <w:r>
        <w:rPr/>
        <w:t> </w:t>
      </w:r>
    </w:p>
    <w:tbl>
      <w:tblPr>
        <w:tblW w:w="7307" w:type="dxa"/>
        <w:jc w:val="left"/>
        <w:tblInd w:w="0" w:type="dxa"/>
        <w:tblLayout w:type="fixed"/>
        <w:tblCellMar>
          <w:top w:w="28" w:type="dxa"/>
          <w:left w:w="28" w:type="dxa"/>
          <w:bottom w:w="28" w:type="dxa"/>
          <w:right w:w="28" w:type="dxa"/>
        </w:tblCellMar>
      </w:tblPr>
      <w:tblGrid>
        <w:gridCol w:w="4561"/>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04-2742817</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25 Frontage Road, Andover, Massachusetts</w:t>
      </w:r>
      <w:r>
        <w:rPr>
          <w:rFonts w:ascii="Times New Roman" w:hAnsi="Times New Roman"/>
          <w:color w:val="000000"/>
          <w:sz w:val="20"/>
        </w:rPr>
        <w:t xml:space="preserve"> </w:t>
      </w:r>
      <w:r>
        <w:rPr>
          <w:rFonts w:ascii="Times New Roman" w:hAnsi="Times New Roman"/>
          <w:b/>
          <w:color w:val="000000"/>
          <w:sz w:val="20"/>
        </w:rPr>
        <w:t>01810</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(Zip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(978) 470-2900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2356"/>
        <w:gridCol w:w="146"/>
        <w:gridCol w:w="1456"/>
        <w:gridCol w:w="146"/>
        <w:gridCol w:w="331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Title of each class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35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Common Stock, par value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 Stock Market LLC</w:t>
            </w:r>
            <w:r>
              <w:rPr>
                <w:rFonts w:ascii="Times New Roman" w:hAnsi="Times New Roman"/>
                <w:color w:val="000000"/>
                <w:sz w:val="20"/>
              </w:rPr>
              <w:t xml:space="preserve"> </w:t>
            </w:r>
          </w:p>
        </w:tc>
      </w:tr>
    </w:tbl>
    <w:p>
      <w:pPr>
        <w:pStyle w:val="TextBody"/>
        <w:pBdr>
          <w:bottom w:val="single" w:sz="6" w:space="1" w:color="000000"/>
        </w:pBdr>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both"/>
        <w:rPr/>
      </w:pPr>
      <w:r>
        <w:rPr/>
        <w:t> </w:t>
      </w:r>
    </w:p>
    <w:p>
      <w:pPr>
        <w:pStyle w:val="TextBody"/>
        <w:bidi w:val="0"/>
        <w:jc w:val="both"/>
        <w:rPr>
          <w:rFonts w:ascii="Times New Roman" w:hAnsi="Times New Roman"/>
          <w:color w:val="000000"/>
          <w:sz w:val="20"/>
        </w:rPr>
      </w:pPr>
      <w:bookmarkStart w:id="2" w:name="ole_link8"/>
      <w:bookmarkStart w:id="3" w:name="ole_link7"/>
      <w:bookmarkEnd w:id="2"/>
      <w:bookmarkEnd w:id="3"/>
      <w:r>
        <w:rPr>
          <w:rFonts w:ascii="Times New Roman" w:hAnsi="Times New Roman"/>
          <w:color w:val="000000"/>
          <w:sz w:val="20"/>
        </w:rPr>
        <w:t>The number of shares outstanding of each of the issuer’s classes of Common Stock as of July 22, 2026 was:</w:t>
      </w:r>
    </w:p>
    <w:p>
      <w:pPr>
        <w:pStyle w:val="TextBody"/>
        <w:bidi w:val="0"/>
        <w:jc w:val="both"/>
        <w:rPr/>
      </w:pPr>
      <w:r>
        <w:rPr/>
        <w:t> </w:t>
      </w:r>
    </w:p>
    <w:tbl>
      <w:tblPr>
        <w:tblW w:w="4739" w:type="dxa"/>
        <w:jc w:val="left"/>
        <w:tblInd w:w="0" w:type="dxa"/>
        <w:tblLayout w:type="fixed"/>
        <w:tblCellMar>
          <w:top w:w="28" w:type="dxa"/>
          <w:left w:w="28" w:type="dxa"/>
          <w:bottom w:w="28" w:type="dxa"/>
          <w:right w:w="28" w:type="dxa"/>
        </w:tblCellMar>
      </w:tblPr>
      <w:tblGrid>
        <w:gridCol w:w="3472"/>
        <w:gridCol w:w="1267"/>
      </w:tblGrid>
      <w:tr>
        <w:trPr/>
        <w:tc>
          <w:tcPr>
            <w:tcW w:w="347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ind w:left="0" w:right="0" w:firstLine="186"/>
              <w:jc w:val="left"/>
              <w:rPr>
                <w:sz w:val="4"/>
                <w:szCs w:val="4"/>
              </w:rPr>
            </w:pPr>
            <w:r>
              <w:rPr>
                <w:sz w:val="4"/>
                <w:szCs w:val="4"/>
              </w:rPr>
            </w:r>
          </w:p>
        </w:tc>
      </w:tr>
      <w:tr>
        <w:trPr/>
        <w:tc>
          <w:tcPr>
            <w:tcW w:w="3472" w:type="dxa"/>
            <w:tcBorders/>
            <w:tcMar>
              <w:top w:w="0" w:type="dxa"/>
              <w:left w:w="0" w:type="dxa"/>
              <w:bottom w:w="0" w:type="dxa"/>
              <w:right w:w="0" w:type="dxa"/>
            </w:tcMar>
            <w:vAlign w:val="center"/>
          </w:tcPr>
          <w:p>
            <w:pPr>
              <w:pStyle w:val="TableContents"/>
              <w:bidi w:val="0"/>
              <w:spacing w:before="0" w:after="283"/>
              <w:ind w:left="0" w:right="0" w:firstLine="186"/>
              <w:jc w:val="both"/>
              <w:rPr>
                <w:rFonts w:ascii="Times New Roman" w:hAnsi="Times New Roman"/>
                <w:color w:val="000000"/>
                <w:sz w:val="20"/>
              </w:rPr>
            </w:pPr>
            <w:r>
              <w:rPr>
                <w:rFonts w:ascii="Times New Roman" w:hAnsi="Times New Roman"/>
                <w:color w:val="000000"/>
                <w:sz w:val="20"/>
              </w:rPr>
              <w:t>Common Stock, $.01 par value</w:t>
            </w:r>
          </w:p>
        </w:tc>
        <w:tc>
          <w:tcPr>
            <w:tcW w:w="1267" w:type="dxa"/>
            <w:tcBorders/>
            <w:tcMar>
              <w:top w:w="0" w:type="dxa"/>
              <w:left w:w="0" w:type="dxa"/>
              <w:bottom w:w="0" w:type="dxa"/>
              <w:right w:w="0" w:type="dxa"/>
            </w:tcMar>
            <w:vAlign w:val="center"/>
          </w:tcPr>
          <w:p>
            <w:pPr>
              <w:pStyle w:val="TableContents"/>
              <w:bidi w:val="0"/>
              <w:spacing w:before="0" w:after="283"/>
              <w:ind w:left="0" w:right="0" w:firstLine="186"/>
              <w:jc w:val="left"/>
              <w:rPr>
                <w:rFonts w:ascii="Times New Roman" w:hAnsi="Times New Roman"/>
                <w:color w:val="000000"/>
                <w:sz w:val="20"/>
              </w:rPr>
            </w:pPr>
            <w:r>
              <w:rPr>
                <w:rFonts w:ascii="Times New Roman" w:hAnsi="Times New Roman"/>
                <w:color w:val="000000"/>
                <w:sz w:val="20"/>
              </w:rPr>
              <w:t>34,389,014</w:t>
            </w:r>
          </w:p>
        </w:tc>
      </w:tr>
      <w:tr>
        <w:trPr/>
        <w:tc>
          <w:tcPr>
            <w:tcW w:w="3472" w:type="dxa"/>
            <w:tcBorders/>
            <w:tcMar>
              <w:top w:w="0" w:type="dxa"/>
              <w:left w:w="0" w:type="dxa"/>
              <w:bottom w:w="0" w:type="dxa"/>
              <w:right w:w="0" w:type="dxa"/>
            </w:tcMar>
            <w:vAlign w:val="center"/>
          </w:tcPr>
          <w:p>
            <w:pPr>
              <w:pStyle w:val="TableContents"/>
              <w:bidi w:val="0"/>
              <w:spacing w:before="0" w:after="283"/>
              <w:ind w:left="0" w:right="0" w:firstLine="186"/>
              <w:jc w:val="both"/>
              <w:rPr>
                <w:rFonts w:ascii="Times New Roman" w:hAnsi="Times New Roman"/>
                <w:color w:val="000000"/>
                <w:sz w:val="20"/>
              </w:rPr>
            </w:pPr>
            <w:r>
              <w:rPr>
                <w:rFonts w:ascii="Times New Roman" w:hAnsi="Times New Roman"/>
                <w:color w:val="000000"/>
                <w:sz w:val="20"/>
              </w:rPr>
              <w:t>Class B Common Stock, $.01 par value</w:t>
            </w:r>
          </w:p>
        </w:tc>
        <w:tc>
          <w:tcPr>
            <w:tcW w:w="12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11,717,718</w:t>
            </w:r>
          </w:p>
        </w:tc>
      </w:tr>
    </w:tbl>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left"/>
        <w:rPr/>
      </w:pPr>
      <w:r>
        <w:rPr/>
        <w:t> </w:t>
      </w:r>
    </w:p>
    <w:p>
      <w:pPr>
        <w:pStyle w:val="TextBody"/>
        <w:bidi w:val="0"/>
        <w:jc w:val="center"/>
        <w:rPr>
          <w:rFonts w:ascii="Times New Roman" w:hAnsi="Times New Roman"/>
          <w:color w:val="000000"/>
          <w:sz w:val="20"/>
        </w:rPr>
      </w:pPr>
      <w:bookmarkStart w:id="4" w:name="toc_page"/>
      <w:bookmarkEnd w:id="4"/>
      <w:r>
        <w:rPr>
          <w:rFonts w:ascii="Times New Roman" w:hAnsi="Times New Roman"/>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59"/>
        <w:gridCol w:w="746"/>
      </w:tblGrid>
      <w:tr>
        <w:trPr/>
        <w:tc>
          <w:tcPr>
            <w:tcW w:w="945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9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4" w:space="0" w:color="000000"/>
            </w:tcBorders>
            <w:tcMar>
              <w:top w:w="0" w:type="dxa"/>
              <w:left w:w="0" w:type="dxa"/>
              <w:right w:w="0" w:type="dxa"/>
            </w:tcMar>
            <w:vAlign w:val="center"/>
          </w:tcPr>
          <w:p>
            <w:pPr>
              <w:pStyle w:val="TableContents"/>
              <w:bidi w:val="0"/>
              <w:spacing w:before="0" w:after="283"/>
              <w:ind w:left="0" w:right="0" w:firstLine="101"/>
              <w:jc w:val="right"/>
              <w:rPr>
                <w:rFonts w:ascii="Times New Roman" w:hAnsi="Times New Roman"/>
                <w:b/>
                <w:color w:val="000000"/>
                <w:sz w:val="20"/>
              </w:rPr>
            </w:pPr>
            <w:r>
              <w:rPr>
                <w:rFonts w:ascii="Times New Roman" w:hAnsi="Times New Roman"/>
                <w:b/>
                <w:color w:val="000000"/>
                <w:sz w:val="20"/>
              </w:rPr>
              <w:t>Page</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part_i">
              <w:r>
                <w:rPr>
                  <w:rStyle w:val="InternetLink"/>
                  <w:rFonts w:ascii="Times New Roman" w:hAnsi="Times New Roman"/>
                  <w:color w:val="0000FF"/>
                  <w:sz w:val="20"/>
                  <w:u w:val="single"/>
                </w:rPr>
                <w:t>Part I — Financial Information:</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pPr>
            <w:r>
              <w:rPr/>
              <w:t> </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1_part_1">
              <w:r>
                <w:rPr>
                  <w:rStyle w:val="InternetLink"/>
                  <w:rFonts w:ascii="Times New Roman" w:hAnsi="Times New Roman"/>
                  <w:color w:val="0000FF"/>
                  <w:sz w:val="20"/>
                  <w:u w:val="single"/>
                </w:rPr>
                <w:t>Item 1 - Financial Statements (Unaudited)</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balance_sheets">
              <w:r>
                <w:rPr>
                  <w:rStyle w:val="InternetLink"/>
                  <w:rFonts w:ascii="Times New Roman" w:hAnsi="Times New Roman"/>
                  <w:color w:val="0000FF"/>
                  <w:sz w:val="20"/>
                  <w:u w:val="single"/>
                </w:rPr>
                <w:t>Condensed Consolidated Balance Sheets at June 30, 2026 and December 31, 2025</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statements_of_operation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statements_of_comprehensive_income">
              <w:r>
                <w:rPr>
                  <w:rStyle w:val="InternetLink"/>
                  <w:rFonts w:ascii="Times New Roman" w:hAnsi="Times New Roman"/>
                  <w:color w:val="0000FF"/>
                  <w:sz w:val="20"/>
                  <w:u w:val="single"/>
                </w:rPr>
                <w:t>Condensed Consolidated Statements of Comprehensive Income for the three and six months ended June 30, 2026 and 2025</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3</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statements_of_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statements_of_equity">
              <w:r>
                <w:rPr>
                  <w:rStyle w:val="InternetLink"/>
                  <w:rFonts w:ascii="Times New Roman" w:hAnsi="Times New Roman"/>
                  <w:color w:val="0000FF"/>
                  <w:sz w:val="20"/>
                  <w:u w:val="single"/>
                </w:rPr>
                <w:t>Condensed Consolidated Statements of Equity for the three and six months ended June 30, 2026 and 2025</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5</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consolidated_fina">
              <w:r>
                <w:rPr>
                  <w:rStyle w:val="InternetLink"/>
                  <w:rFonts w:ascii="Times New Roman" w:hAnsi="Times New Roman"/>
                  <w:color w:val="0000FF"/>
                  <w:sz w:val="20"/>
                  <w:u w:val="single"/>
                </w:rPr>
                <w:t>Notes to Condensed Consolidated Financial Statements</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7</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mda">
              <w:r>
                <w:rPr>
                  <w:rStyle w:val="InternetLink"/>
                  <w:rFonts w:ascii="Times New Roman" w:hAnsi="Times New Roman"/>
                  <w:color w:val="0000FF"/>
                  <w:sz w:val="20"/>
                  <w:u w:val="single"/>
                </w:rPr>
                <w:t>Item 2 — Management’s Discussion and Analysis of Financial Condition and Results of Operations</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17</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3">
              <w:r>
                <w:rPr>
                  <w:rStyle w:val="InternetLink"/>
                  <w:rFonts w:ascii="Times New Roman" w:hAnsi="Times New Roman"/>
                  <w:color w:val="0000FF"/>
                  <w:sz w:val="20"/>
                  <w:u w:val="single"/>
                </w:rPr>
                <w:t>Item 3 — Quantitative and Qualitative Disclosures About Market Risk</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27</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4">
              <w:r>
                <w:rPr>
                  <w:rStyle w:val="InternetLink"/>
                  <w:rFonts w:ascii="Times New Roman" w:hAnsi="Times New Roman"/>
                  <w:color w:val="0000FF"/>
                  <w:sz w:val="20"/>
                  <w:u w:val="single"/>
                </w:rPr>
                <w:t>Item 4 — Controls and Procedures</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101"/>
              <w:jc w:val="right"/>
              <w:rPr>
                <w:rFonts w:ascii="Times New Roman" w:hAnsi="Times New Roman"/>
                <w:color w:val="000000"/>
                <w:sz w:val="20"/>
              </w:rPr>
            </w:pPr>
            <w:r>
              <w:rPr>
                <w:rFonts w:ascii="Times New Roman" w:hAnsi="Times New Roman"/>
                <w:color w:val="000000"/>
                <w:sz w:val="20"/>
              </w:rPr>
              <w:t>28</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part_ii">
              <w:r>
                <w:rPr>
                  <w:rStyle w:val="InternetLink"/>
                  <w:rFonts w:ascii="Times New Roman" w:hAnsi="Times New Roman"/>
                  <w:color w:val="0000FF"/>
                  <w:sz w:val="20"/>
                  <w:u w:val="single"/>
                </w:rPr>
                <w:t>Part II — Other Information:</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29</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1_part_ii">
              <w:r>
                <w:rPr>
                  <w:rStyle w:val="InternetLink"/>
                  <w:rFonts w:ascii="Times New Roman" w:hAnsi="Times New Roman"/>
                  <w:color w:val="0000FF"/>
                  <w:sz w:val="20"/>
                  <w:u w:val="single"/>
                </w:rPr>
                <w:t>Item 1 — Legal Proceedings</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29</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1a_part_ii">
              <w:r>
                <w:rPr>
                  <w:rStyle w:val="InternetLink"/>
                  <w:rFonts w:ascii="Times New Roman" w:hAnsi="Times New Roman"/>
                  <w:color w:val="0000FF"/>
                  <w:sz w:val="20"/>
                  <w:u w:val="single"/>
                </w:rPr>
                <w:t>Item 1A — Risk Factors</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29</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FF"/>
                <w:sz w:val="20"/>
                <w:u w:val="single"/>
              </w:rPr>
            </w:pPr>
            <w:r>
              <w:rPr>
                <w:rFonts w:ascii="Times New Roman" w:hAnsi="Times New Roman"/>
                <w:color w:val="0000FF"/>
                <w:sz w:val="20"/>
                <w:u w:val="single"/>
              </w:rPr>
              <w:t>Item 2 — Unregistered Sales of Equity Securities and Use of Proceeds</w:t>
            </w:r>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29</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5_other_information">
              <w:r>
                <w:rPr>
                  <w:rStyle w:val="InternetLink"/>
                  <w:rFonts w:ascii="Times New Roman" w:hAnsi="Times New Roman"/>
                  <w:color w:val="0000FF"/>
                  <w:sz w:val="20"/>
                  <w:u w:val="single"/>
                </w:rPr>
                <w:t>Item 5 — Other Information</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29</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item_6">
              <w:r>
                <w:rPr>
                  <w:rStyle w:val="InternetLink"/>
                  <w:rFonts w:ascii="Times New Roman" w:hAnsi="Times New Roman"/>
                  <w:color w:val="0000FF"/>
                  <w:sz w:val="20"/>
                  <w:u w:val="single"/>
                </w:rPr>
                <w:t>Item 6 — Exhibits</w:t>
              </w:r>
            </w:hyperlink>
          </w:p>
        </w:tc>
        <w:tc>
          <w:tcPr>
            <w:tcW w:w="746" w:type="dxa"/>
            <w:tcBorders/>
            <w:tcMar>
              <w:top w:w="0" w:type="dxa"/>
              <w:left w:w="0" w:type="dxa"/>
              <w:bottom w:w="0" w:type="dxa"/>
              <w:right w:w="0" w:type="dxa"/>
            </w:tcMar>
            <w:vAlign w:val="center"/>
          </w:tcPr>
          <w:p>
            <w:pPr>
              <w:pStyle w:val="TableContents"/>
              <w:bidi w:val="0"/>
              <w:spacing w:before="0" w:after="283"/>
              <w:ind w:left="0" w:right="0" w:firstLine="331"/>
              <w:jc w:val="right"/>
              <w:rPr>
                <w:rFonts w:ascii="Times New Roman" w:hAnsi="Times New Roman"/>
                <w:color w:val="000000"/>
                <w:sz w:val="20"/>
              </w:rPr>
            </w:pPr>
            <w:r>
              <w:rPr>
                <w:rFonts w:ascii="Times New Roman" w:hAnsi="Times New Roman"/>
                <w:color w:val="000000"/>
                <w:sz w:val="20"/>
              </w:rPr>
              <w:t>30</w:t>
            </w:r>
          </w:p>
        </w:tc>
      </w:tr>
      <w:tr>
        <w:trPr/>
        <w:tc>
          <w:tcPr>
            <w:tcW w:w="9459" w:type="dxa"/>
            <w:tcBorders/>
            <w:tcMar>
              <w:top w:w="0" w:type="dxa"/>
              <w:left w:w="0" w:type="dxa"/>
              <w:bottom w:w="0" w:type="dxa"/>
              <w:right w:w="0" w:type="dxa"/>
            </w:tcMar>
            <w:vAlign w:val="center"/>
          </w:tcPr>
          <w:p>
            <w:pPr>
              <w:pStyle w:val="TableContents"/>
              <w:bidi w:val="0"/>
              <w:spacing w:before="0" w:after="283"/>
              <w:ind w:left="0" w:right="0" w:firstLine="331"/>
              <w:jc w:val="left"/>
              <w:rPr/>
            </w:pPr>
            <w:hyperlink w:anchor="signatures">
              <w:r>
                <w:rPr>
                  <w:rStyle w:val="InternetLink"/>
                  <w:rFonts w:ascii="Times New Roman" w:hAnsi="Times New Roman"/>
                  <w:color w:val="0000FF"/>
                  <w:sz w:val="20"/>
                  <w:u w:val="single"/>
                </w:rPr>
                <w:t>Signatures</w:t>
              </w:r>
            </w:hyperlink>
          </w:p>
        </w:tc>
        <w:tc>
          <w:tcPr>
            <w:tcW w:w="7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bookmarkStart w:id="5" w:name="part_i"/>
      <w:bookmarkEnd w:id="5"/>
      <w:r>
        <w:rPr>
          <w:rFonts w:ascii="Times New Roman" w:hAnsi="Times New Roman"/>
          <w:color w:val="000000"/>
          <w:sz w:val="20"/>
        </w:rPr>
        <w:t>Part I – Financial Information</w:t>
      </w:r>
    </w:p>
    <w:p>
      <w:pPr>
        <w:pStyle w:val="TextBody"/>
        <w:bidi w:val="0"/>
        <w:jc w:val="center"/>
        <w:rPr>
          <w:rFonts w:ascii="Times New Roman" w:hAnsi="Times New Roman"/>
          <w:color w:val="000000"/>
          <w:sz w:val="20"/>
        </w:rPr>
      </w:pPr>
      <w:bookmarkStart w:id="6" w:name="item_1_part_1"/>
      <w:bookmarkEnd w:id="6"/>
      <w:r>
        <w:rPr>
          <w:rFonts w:ascii="Times New Roman" w:hAnsi="Times New Roman"/>
          <w:color w:val="000000"/>
          <w:sz w:val="20"/>
        </w:rPr>
        <w:t>Item 1 – Financial Statements</w:t>
      </w:r>
    </w:p>
    <w:p>
      <w:pPr>
        <w:pStyle w:val="TextBody"/>
        <w:bidi w:val="0"/>
        <w:jc w:val="center"/>
        <w:rPr/>
      </w:pPr>
      <w:r>
        <w:rPr/>
        <w:t> </w:t>
      </w:r>
    </w:p>
    <w:p>
      <w:pPr>
        <w:pStyle w:val="TextBody"/>
        <w:bidi w:val="0"/>
        <w:jc w:val="center"/>
        <w:rPr>
          <w:rFonts w:ascii="Times New Roman" w:hAnsi="Times New Roman"/>
          <w:color w:val="000000"/>
          <w:sz w:val="20"/>
        </w:rPr>
      </w:pPr>
      <w:bookmarkStart w:id="7" w:name="balance_sheets"/>
      <w:bookmarkEnd w:id="7"/>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955" w:type="dxa"/>
        <w:jc w:val="left"/>
        <w:tblInd w:w="0" w:type="dxa"/>
        <w:tblLayout w:type="fixed"/>
        <w:tblCellMar>
          <w:top w:w="28" w:type="dxa"/>
          <w:left w:w="28" w:type="dxa"/>
          <w:bottom w:w="28" w:type="dxa"/>
          <w:right w:w="28" w:type="dxa"/>
        </w:tblCellMar>
      </w:tblPr>
      <w:tblGrid>
        <w:gridCol w:w="6081"/>
        <w:gridCol w:w="146"/>
        <w:gridCol w:w="233"/>
        <w:gridCol w:w="892"/>
        <w:gridCol w:w="166"/>
        <w:gridCol w:w="146"/>
        <w:gridCol w:w="310"/>
        <w:gridCol w:w="1190"/>
        <w:gridCol w:w="791"/>
      </w:tblGrid>
      <w:tr>
        <w:trPr/>
        <w:tc>
          <w:tcPr>
            <w:tcW w:w="6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402,805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587,363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147,690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785,831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litigation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deferred revenue and customer 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65,321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Vicor Corporation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10</w:t>
            </w:r>
            <w:r>
              <w:rPr>
                <w:rFonts w:ascii="Times New Roman" w:hAnsi="Times New Roman"/>
                <w:color w:val="000000"/>
                <w:sz w:val="20"/>
              </w:rPr>
              <w:t> </w:t>
            </w:r>
            <w:r>
              <w:rPr>
                <w:rFonts w:ascii="Times New Roman" w:hAnsi="Times New Roman"/>
                <w:color w:val="000000"/>
                <w:sz w:val="18"/>
              </w:rPr>
              <w:t>votes per share, $.01</w:t>
            </w:r>
            <w:r>
              <w:rPr>
                <w:rFonts w:ascii="Times New Roman" w:hAnsi="Times New Roman"/>
                <w:color w:val="000000"/>
                <w:sz w:val="20"/>
              </w:rPr>
              <w:t> </w:t>
            </w:r>
            <w:r>
              <w:rPr>
                <w:rFonts w:ascii="Times New Roman" w:hAnsi="Times New Roman"/>
                <w:color w:val="000000"/>
                <w:sz w:val="18"/>
              </w:rPr>
              <w:t>par value, 14,000,000</w:t>
            </w:r>
            <w:r>
              <w:rPr>
                <w:rFonts w:ascii="Times New Roman" w:hAnsi="Times New Roman"/>
                <w:color w:val="000000"/>
                <w:sz w:val="20"/>
              </w:rPr>
              <w:t> </w:t>
            </w:r>
            <w:r>
              <w:rPr>
                <w:rFonts w:ascii="Times New Roman" w:hAnsi="Times New Roman"/>
                <w:color w:val="000000"/>
                <w:sz w:val="18"/>
              </w:rPr>
              <w:t>shares</w:t>
              <w:br/>
              <w:t>    authorized, 11,717,718</w:t>
            </w:r>
            <w:r>
              <w:rPr>
                <w:rFonts w:ascii="Times New Roman" w:hAnsi="Times New Roman"/>
                <w:color w:val="000000"/>
                <w:sz w:val="20"/>
              </w:rPr>
              <w:t> </w:t>
            </w:r>
            <w:r>
              <w:rPr>
                <w:rFonts w:ascii="Times New Roman" w:hAnsi="Times New Roman"/>
                <w:color w:val="000000"/>
                <w:sz w:val="18"/>
              </w:rPr>
              <w:t>shares issued and outstanding in 2026</w:t>
              <w:br/>
              <w:t>    and 11,726,718</w:t>
            </w:r>
            <w:r>
              <w:rPr>
                <w:rFonts w:ascii="Times New Roman" w:hAnsi="Times New Roman"/>
                <w:color w:val="000000"/>
                <w:sz w:val="20"/>
              </w:rPr>
              <w:t> </w:t>
            </w:r>
            <w:r>
              <w:rPr>
                <w:rFonts w:ascii="Times New Roman" w:hAnsi="Times New Roman"/>
                <w:color w:val="000000"/>
                <w:sz w:val="18"/>
              </w:rPr>
              <w:t>shares issued and outstanding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1</w:t>
            </w:r>
            <w:r>
              <w:rPr>
                <w:rFonts w:ascii="Times New Roman" w:hAnsi="Times New Roman"/>
                <w:color w:val="000000"/>
                <w:sz w:val="20"/>
              </w:rPr>
              <w:t> </w:t>
            </w:r>
            <w:r>
              <w:rPr>
                <w:rFonts w:ascii="Times New Roman" w:hAnsi="Times New Roman"/>
                <w:color w:val="000000"/>
                <w:sz w:val="18"/>
              </w:rPr>
              <w:t>vote per share, $.01</w:t>
            </w:r>
            <w:r>
              <w:rPr>
                <w:rFonts w:ascii="Times New Roman" w:hAnsi="Times New Roman"/>
                <w:color w:val="000000"/>
                <w:sz w:val="20"/>
              </w:rPr>
              <w:t> </w:t>
            </w:r>
            <w:r>
              <w:rPr>
                <w:rFonts w:ascii="Times New Roman" w:hAnsi="Times New Roman"/>
                <w:color w:val="000000"/>
                <w:sz w:val="18"/>
              </w:rPr>
              <w:t>par value, 62,000,000</w:t>
            </w:r>
            <w:r>
              <w:rPr>
                <w:rFonts w:ascii="Times New Roman" w:hAnsi="Times New Roman"/>
                <w:color w:val="000000"/>
                <w:sz w:val="20"/>
              </w:rPr>
              <w:t> </w:t>
            </w:r>
            <w:r>
              <w:rPr>
                <w:rFonts w:ascii="Times New Roman" w:hAnsi="Times New Roman"/>
                <w:color w:val="000000"/>
                <w:sz w:val="18"/>
              </w:rPr>
              <w:t>shares authorized</w:t>
              <w:br/>
              <w:t>   45,955,940</w:t>
            </w:r>
            <w:r>
              <w:rPr>
                <w:rFonts w:ascii="Times New Roman" w:hAnsi="Times New Roman"/>
                <w:color w:val="000000"/>
                <w:sz w:val="20"/>
              </w:rPr>
              <w:t> </w:t>
            </w:r>
            <w:r>
              <w:rPr>
                <w:rFonts w:ascii="Times New Roman" w:hAnsi="Times New Roman"/>
                <w:color w:val="000000"/>
                <w:sz w:val="18"/>
              </w:rPr>
              <w:t>shares issued and 34,383,481</w:t>
            </w:r>
            <w:r>
              <w:rPr>
                <w:rFonts w:ascii="Times New Roman" w:hAnsi="Times New Roman"/>
                <w:color w:val="000000"/>
                <w:sz w:val="20"/>
              </w:rPr>
              <w:t> </w:t>
            </w:r>
            <w:r>
              <w:rPr>
                <w:rFonts w:ascii="Times New Roman" w:hAnsi="Times New Roman"/>
                <w:color w:val="000000"/>
                <w:sz w:val="18"/>
              </w:rPr>
              <w:t>shares outstanding in 2026;</w:t>
              <w:br/>
              <w:t>   45,910,601</w:t>
            </w:r>
            <w:r>
              <w:rPr>
                <w:rFonts w:ascii="Times New Roman" w:hAnsi="Times New Roman"/>
                <w:color w:val="000000"/>
                <w:sz w:val="20"/>
              </w:rPr>
              <w:t> </w:t>
            </w:r>
            <w:r>
              <w:rPr>
                <w:rFonts w:ascii="Times New Roman" w:hAnsi="Times New Roman"/>
                <w:color w:val="000000"/>
                <w:sz w:val="18"/>
              </w:rPr>
              <w:t>shares issued and 33,532,377</w:t>
            </w:r>
            <w:r>
              <w:rPr>
                <w:rFonts w:ascii="Times New Roman" w:hAnsi="Times New Roman"/>
                <w:color w:val="000000"/>
                <w:sz w:val="20"/>
              </w:rPr>
              <w:t>  </w:t>
            </w:r>
            <w:r>
              <w:rPr>
                <w:rFonts w:ascii="Times New Roman" w:hAnsi="Times New Roman"/>
                <w:color w:val="000000"/>
                <w:sz w:val="18"/>
              </w:rPr>
              <w:t>shares outstanding in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462,227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421,359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 at cost: 11,572,459</w:t>
            </w:r>
            <w:r>
              <w:rPr>
                <w:rFonts w:ascii="Times New Roman" w:hAnsi="Times New Roman"/>
                <w:color w:val="000000"/>
                <w:sz w:val="20"/>
              </w:rPr>
              <w:t> </w:t>
            </w:r>
            <w:r>
              <w:rPr>
                <w:rFonts w:ascii="Times New Roman" w:hAnsi="Times New Roman"/>
                <w:color w:val="000000"/>
                <w:sz w:val="18"/>
              </w:rPr>
              <w:t>shares in 2026 and 12,378,224</w:t>
            </w:r>
            <w:r>
              <w:rPr>
                <w:rFonts w:ascii="Times New Roman" w:hAnsi="Times New Roman"/>
                <w:color w:val="000000"/>
                <w:sz w:val="20"/>
              </w:rPr>
              <w:t> </w:t>
            </w:r>
            <w:r>
              <w:rPr>
                <w:rFonts w:ascii="Times New Roman" w:hAnsi="Times New Roman"/>
                <w:color w:val="000000"/>
                <w:sz w:val="18"/>
              </w:rPr>
              <w:t>shares in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(170,935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Vicor Corporation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711,557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711,816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785,831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left"/>
        <w:rPr/>
      </w:pPr>
      <w:r>
        <w:rPr/>
        <w:t> </w:t>
      </w:r>
    </w:p>
    <w:p>
      <w:pPr>
        <w:pStyle w:val="TextBody"/>
        <w:bidi w:val="0"/>
        <w:jc w:val="center"/>
        <w:rPr>
          <w:rFonts w:ascii="Times New Roman" w:hAnsi="Times New Roman"/>
          <w:color w:val="000000"/>
          <w:sz w:val="20"/>
        </w:rPr>
      </w:pPr>
      <w:bookmarkStart w:id="8" w:name="statements_of_operations"/>
      <w:bookmarkEnd w:id="8"/>
      <w:r>
        <w:rPr>
          <w:rFonts w:ascii="Times New Roman" w:hAnsi="Times New Roman"/>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132" w:type="dxa"/>
        <w:jc w:val="left"/>
        <w:tblInd w:w="0" w:type="dxa"/>
        <w:tblLayout w:type="fixed"/>
        <w:tblCellMar>
          <w:top w:w="28" w:type="dxa"/>
          <w:left w:w="28" w:type="dxa"/>
          <w:bottom w:w="28" w:type="dxa"/>
          <w:right w:w="28" w:type="dxa"/>
        </w:tblCellMar>
      </w:tblPr>
      <w:tblGrid>
        <w:gridCol w:w="4491"/>
        <w:gridCol w:w="146"/>
        <w:gridCol w:w="211"/>
        <w:gridCol w:w="781"/>
        <w:gridCol w:w="166"/>
        <w:gridCol w:w="146"/>
        <w:gridCol w:w="211"/>
        <w:gridCol w:w="781"/>
        <w:gridCol w:w="166"/>
        <w:gridCol w:w="146"/>
        <w:gridCol w:w="211"/>
        <w:gridCol w:w="781"/>
        <w:gridCol w:w="166"/>
        <w:gridCol w:w="146"/>
        <w:gridCol w:w="211"/>
        <w:gridCol w:w="781"/>
        <w:gridCol w:w="591"/>
      </w:tblGrid>
      <w:tr>
        <w:trPr/>
        <w:tc>
          <w:tcPr>
            <w:tcW w:w="4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litigation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revenues and patent 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unrealized gains (losses) on available-for-sale</w:t>
              <w:br/>
              <w: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portion of (gains) losses recognized in other</w:t>
              <w:br/>
              <w:t>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credit gains recognized in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Net income attributable to</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Vicor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 attributable to</w:t>
              <w:br/>
              <w:t>   Vicor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per common share</w:t>
              <w:br/>
              <w:t>   attributable to Vicor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left"/>
        <w:rPr/>
      </w:pPr>
      <w:r>
        <w:rPr/>
        <w:t> </w:t>
      </w:r>
    </w:p>
    <w:p>
      <w:pPr>
        <w:pStyle w:val="TextBody"/>
        <w:bidi w:val="0"/>
        <w:jc w:val="center"/>
        <w:rPr>
          <w:rFonts w:ascii="Times New Roman" w:hAnsi="Times New Roman"/>
          <w:color w:val="000000"/>
          <w:sz w:val="20"/>
        </w:rPr>
      </w:pPr>
      <w:bookmarkStart w:id="9" w:name="statements_of_comprehensive_income"/>
      <w:bookmarkEnd w:id="9"/>
      <w:r>
        <w:rPr>
          <w:rFonts w:ascii="Times New Roman" w:hAnsi="Times New Roman"/>
          <w:color w:val="000000"/>
          <w:sz w:val="20"/>
        </w:rPr>
        <w:t xml:space="preserve">Condensed Consolidated Statements of Comprehensive Income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4866"/>
        <w:gridCol w:w="146"/>
        <w:gridCol w:w="211"/>
        <w:gridCol w:w="676"/>
        <w:gridCol w:w="166"/>
        <w:gridCol w:w="146"/>
        <w:gridCol w:w="211"/>
        <w:gridCol w:w="676"/>
        <w:gridCol w:w="166"/>
        <w:gridCol w:w="146"/>
        <w:gridCol w:w="211"/>
        <w:gridCol w:w="676"/>
        <w:gridCol w:w="166"/>
        <w:gridCol w:w="146"/>
        <w:gridCol w:w="211"/>
        <w:gridCol w:w="676"/>
        <w:gridCol w:w="39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(losses) gains, net of tax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(losses) on available-for-sale</w:t>
              <w:br/>
              <w:t>   securities, net of tax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income attributable to</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w:t>
              <w:br/>
              <w:t>   Vicor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deferred tax assets associated with foreign currency translation (losses) gains and unrealized gains (losses) on available-for-sale securities are completely offset by a tax valuation allowance as of June 30, 2026 and 2025. Therefore, there is no</w:t>
      </w:r>
      <w:r>
        <w:rPr>
          <w:color w:val="000000"/>
        </w:rPr>
        <w:t xml:space="preserve"> </w:t>
      </w:r>
      <w:r>
        <w:rPr>
          <w:rFonts w:ascii="Times New Roman" w:hAnsi="Times New Roman"/>
          <w:color w:val="000000"/>
          <w:sz w:val="20"/>
        </w:rPr>
        <w:t xml:space="preserve">income tax benefit (provision) recognized for the three and six months ended June 30, 2026 and 2025.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left"/>
        <w:rPr/>
      </w:pPr>
      <w:r>
        <w:rPr/>
        <w:t> </w:t>
      </w:r>
    </w:p>
    <w:p>
      <w:pPr>
        <w:pStyle w:val="TextBody"/>
        <w:bidi w:val="0"/>
        <w:jc w:val="center"/>
        <w:rPr>
          <w:rFonts w:ascii="Times New Roman" w:hAnsi="Times New Roman"/>
          <w:color w:val="000000"/>
          <w:sz w:val="20"/>
        </w:rPr>
      </w:pPr>
      <w:bookmarkStart w:id="10" w:name="statements_of_cash_flows"/>
      <w:bookmarkEnd w:id="10"/>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719" w:type="dxa"/>
        <w:jc w:val="left"/>
        <w:tblInd w:w="0" w:type="dxa"/>
        <w:tblLayout w:type="fixed"/>
        <w:tblCellMar>
          <w:top w:w="28" w:type="dxa"/>
          <w:left w:w="28" w:type="dxa"/>
          <w:bottom w:w="28" w:type="dxa"/>
          <w:right w:w="28" w:type="dxa"/>
        </w:tblCellMar>
      </w:tblPr>
      <w:tblGrid>
        <w:gridCol w:w="6466"/>
        <w:gridCol w:w="146"/>
        <w:gridCol w:w="211"/>
        <w:gridCol w:w="781"/>
        <w:gridCol w:w="166"/>
        <w:gridCol w:w="146"/>
        <w:gridCol w:w="211"/>
        <w:gridCol w:w="781"/>
        <w:gridCol w:w="81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Adjustments to reconcile consolidated net income to net cash provided by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Litigation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long-term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changes in current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property, plant and equipment and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for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338,541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Purchases of property, plant and equipment and internal-use software incurred </w:t>
              <w:br/>
              <w:t>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left"/>
        <w:rPr/>
      </w:pPr>
      <w:r>
        <w:rPr/>
        <w:t> </w:t>
      </w:r>
    </w:p>
    <w:p>
      <w:pPr>
        <w:pStyle w:val="TextBody"/>
        <w:bidi w:val="0"/>
        <w:jc w:val="center"/>
        <w:rPr>
          <w:rFonts w:ascii="Times New Roman" w:hAnsi="Times New Roman"/>
          <w:color w:val="000000"/>
          <w:sz w:val="20"/>
        </w:rPr>
      </w:pPr>
      <w:bookmarkStart w:id="11" w:name="statements_of_equity"/>
      <w:bookmarkEnd w:id="11"/>
      <w:r>
        <w:rPr>
          <w:rFonts w:ascii="Times New Roman" w:hAnsi="Times New Roman"/>
          <w:color w:val="000000"/>
          <w:sz w:val="20"/>
        </w:rPr>
        <w:t>Condensed Consolidated Statements of Equity</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778" w:type="dxa"/>
        <w:jc w:val="left"/>
        <w:tblInd w:w="0" w:type="dxa"/>
        <w:tblLayout w:type="fixed"/>
        <w:tblCellMar>
          <w:top w:w="28" w:type="dxa"/>
          <w:left w:w="28" w:type="dxa"/>
          <w:bottom w:w="28" w:type="dxa"/>
          <w:right w:w="28" w:type="dxa"/>
        </w:tblCellMar>
      </w:tblPr>
      <w:tblGrid>
        <w:gridCol w:w="1371"/>
        <w:gridCol w:w="146"/>
        <w:gridCol w:w="200"/>
        <w:gridCol w:w="386"/>
        <w:gridCol w:w="146"/>
        <w:gridCol w:w="146"/>
        <w:gridCol w:w="200"/>
        <w:gridCol w:w="386"/>
        <w:gridCol w:w="146"/>
        <w:gridCol w:w="146"/>
        <w:gridCol w:w="196"/>
        <w:gridCol w:w="691"/>
        <w:gridCol w:w="146"/>
        <w:gridCol w:w="146"/>
        <w:gridCol w:w="196"/>
        <w:gridCol w:w="691"/>
        <w:gridCol w:w="146"/>
        <w:gridCol w:w="146"/>
        <w:gridCol w:w="233"/>
        <w:gridCol w:w="683"/>
        <w:gridCol w:w="166"/>
        <w:gridCol w:w="146"/>
        <w:gridCol w:w="196"/>
        <w:gridCol w:w="751"/>
        <w:gridCol w:w="166"/>
        <w:gridCol w:w="146"/>
        <w:gridCol w:w="196"/>
        <w:gridCol w:w="691"/>
        <w:gridCol w:w="166"/>
        <w:gridCol w:w="146"/>
        <w:gridCol w:w="298"/>
        <w:gridCol w:w="573"/>
        <w:gridCol w:w="166"/>
        <w:gridCol w:w="146"/>
        <w:gridCol w:w="196"/>
        <w:gridCol w:w="691"/>
        <w:gridCol w:w="39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Vicor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Corporation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w:t>
              <w:br/>
              <w:t>   employee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Components of comprehensive</w:t>
              <w:br/>
              <w:t>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834,594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1778" w:type="dxa"/>
        <w:jc w:val="left"/>
        <w:tblInd w:w="0" w:type="dxa"/>
        <w:tblLayout w:type="fixed"/>
        <w:tblCellMar>
          <w:top w:w="28" w:type="dxa"/>
          <w:left w:w="28" w:type="dxa"/>
          <w:bottom w:w="28" w:type="dxa"/>
          <w:right w:w="28" w:type="dxa"/>
        </w:tblCellMar>
      </w:tblPr>
      <w:tblGrid>
        <w:gridCol w:w="1371"/>
        <w:gridCol w:w="146"/>
        <w:gridCol w:w="200"/>
        <w:gridCol w:w="386"/>
        <w:gridCol w:w="146"/>
        <w:gridCol w:w="146"/>
        <w:gridCol w:w="200"/>
        <w:gridCol w:w="386"/>
        <w:gridCol w:w="146"/>
        <w:gridCol w:w="146"/>
        <w:gridCol w:w="196"/>
        <w:gridCol w:w="691"/>
        <w:gridCol w:w="146"/>
        <w:gridCol w:w="146"/>
        <w:gridCol w:w="196"/>
        <w:gridCol w:w="691"/>
        <w:gridCol w:w="146"/>
        <w:gridCol w:w="146"/>
        <w:gridCol w:w="233"/>
        <w:gridCol w:w="683"/>
        <w:gridCol w:w="166"/>
        <w:gridCol w:w="146"/>
        <w:gridCol w:w="196"/>
        <w:gridCol w:w="751"/>
        <w:gridCol w:w="166"/>
        <w:gridCol w:w="146"/>
        <w:gridCol w:w="196"/>
        <w:gridCol w:w="691"/>
        <w:gridCol w:w="166"/>
        <w:gridCol w:w="146"/>
        <w:gridCol w:w="298"/>
        <w:gridCol w:w="573"/>
        <w:gridCol w:w="166"/>
        <w:gridCol w:w="146"/>
        <w:gridCol w:w="196"/>
        <w:gridCol w:w="691"/>
        <w:gridCol w:w="39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Vicor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Corporation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711,816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w:t>
              <w:br/>
              <w:t>   employee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Components of comprehensive</w:t>
              <w:br/>
              <w:t>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834,594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1758" w:type="dxa"/>
        <w:jc w:val="left"/>
        <w:tblInd w:w="0" w:type="dxa"/>
        <w:tblLayout w:type="fixed"/>
        <w:tblCellMar>
          <w:top w:w="28" w:type="dxa"/>
          <w:left w:w="28" w:type="dxa"/>
          <w:bottom w:w="28" w:type="dxa"/>
          <w:right w:w="28" w:type="dxa"/>
        </w:tblCellMar>
      </w:tblPr>
      <w:tblGrid>
        <w:gridCol w:w="1371"/>
        <w:gridCol w:w="146"/>
        <w:gridCol w:w="200"/>
        <w:gridCol w:w="386"/>
        <w:gridCol w:w="146"/>
        <w:gridCol w:w="146"/>
        <w:gridCol w:w="200"/>
        <w:gridCol w:w="386"/>
        <w:gridCol w:w="146"/>
        <w:gridCol w:w="146"/>
        <w:gridCol w:w="196"/>
        <w:gridCol w:w="691"/>
        <w:gridCol w:w="146"/>
        <w:gridCol w:w="146"/>
        <w:gridCol w:w="196"/>
        <w:gridCol w:w="691"/>
        <w:gridCol w:w="146"/>
        <w:gridCol w:w="146"/>
        <w:gridCol w:w="233"/>
        <w:gridCol w:w="683"/>
        <w:gridCol w:w="166"/>
        <w:gridCol w:w="146"/>
        <w:gridCol w:w="196"/>
        <w:gridCol w:w="751"/>
        <w:gridCol w:w="166"/>
        <w:gridCol w:w="146"/>
        <w:gridCol w:w="196"/>
        <w:gridCol w:w="691"/>
        <w:gridCol w:w="166"/>
        <w:gridCol w:w="146"/>
        <w:gridCol w:w="298"/>
        <w:gridCol w:w="573"/>
        <w:gridCol w:w="146"/>
        <w:gridCol w:w="146"/>
        <w:gridCol w:w="196"/>
        <w:gridCol w:w="691"/>
        <w:gridCol w:w="39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Vicor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Corporation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580,563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w:t>
              <w:br/>
              <w:t>   employee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Components of comprehensive</w:t>
              <w:br/>
              <w:t>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608,866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tbl>
      <w:tblPr>
        <w:tblW w:w="11758" w:type="dxa"/>
        <w:jc w:val="left"/>
        <w:tblInd w:w="0" w:type="dxa"/>
        <w:tblLayout w:type="fixed"/>
        <w:tblCellMar>
          <w:top w:w="28" w:type="dxa"/>
          <w:left w:w="28" w:type="dxa"/>
          <w:bottom w:w="28" w:type="dxa"/>
          <w:right w:w="28" w:type="dxa"/>
        </w:tblCellMar>
      </w:tblPr>
      <w:tblGrid>
        <w:gridCol w:w="1371"/>
        <w:gridCol w:w="146"/>
        <w:gridCol w:w="200"/>
        <w:gridCol w:w="386"/>
        <w:gridCol w:w="146"/>
        <w:gridCol w:w="146"/>
        <w:gridCol w:w="200"/>
        <w:gridCol w:w="386"/>
        <w:gridCol w:w="146"/>
        <w:gridCol w:w="146"/>
        <w:gridCol w:w="196"/>
        <w:gridCol w:w="691"/>
        <w:gridCol w:w="146"/>
        <w:gridCol w:w="146"/>
        <w:gridCol w:w="196"/>
        <w:gridCol w:w="691"/>
        <w:gridCol w:w="146"/>
        <w:gridCol w:w="146"/>
        <w:gridCol w:w="233"/>
        <w:gridCol w:w="683"/>
        <w:gridCol w:w="166"/>
        <w:gridCol w:w="146"/>
        <w:gridCol w:w="196"/>
        <w:gridCol w:w="751"/>
        <w:gridCol w:w="166"/>
        <w:gridCol w:w="146"/>
        <w:gridCol w:w="196"/>
        <w:gridCol w:w="691"/>
        <w:gridCol w:w="166"/>
        <w:gridCol w:w="146"/>
        <w:gridCol w:w="298"/>
        <w:gridCol w:w="573"/>
        <w:gridCol w:w="146"/>
        <w:gridCol w:w="146"/>
        <w:gridCol w:w="196"/>
        <w:gridCol w:w="691"/>
        <w:gridCol w:w="39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Vicor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Corporation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w:t>
              <w:br/>
              <w:t>   employee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Components of comprehensive</w:t>
              <w:br/>
              <w:t>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on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608,866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bookmarkStart w:id="12" w:name="notes_to_condensed_consolidated_fina"/>
      <w:bookmarkEnd w:id="12"/>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Vicor Corporation and its consolidated subsidiaries (collectively, the “Company”) have been prepared in accordance with generally accepted accounting principles for interim financial information and pursuant to the rules and regulations of the Securities and Exchange Commission (the “SEC”). Accordingly, these interim financial statements do not include all of the information and footnotes required by generally accepted accounting principles for complete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management, all adjustments (consisting of normal recurring adjustments) considered necessary for a fair presentation have been included. Operating results for the three and six months ended June 30, 2026 are not necessarily indicative of the results that may be expected for any other interim period or the year ending December 31, 2026. The balance sheet at December 31, 2025 presented herein has been derived from the audited financial statements at that date but does not include all of the information and footnotes required by generally accepted accounting principles for complete financial statements. For further information, refer to the consolidated financial statements and notes thereto contained in the Company’s Annual Report on Form 10-K for the year ended December 31, 2025 filed by the Company with the SEC on March 2, 2026.</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were as follows (in thousands):</w:t>
      </w:r>
    </w:p>
    <w:p>
      <w:pPr>
        <w:pStyle w:val="TextBody"/>
        <w:bidi w:val="0"/>
        <w:jc w:val="left"/>
        <w:rPr/>
      </w:pPr>
      <w:r>
        <w:rPr/>
        <w:t> </w:t>
      </w:r>
    </w:p>
    <w:tbl>
      <w:tblPr>
        <w:tblW w:w="4710" w:type="dxa"/>
        <w:jc w:val="left"/>
        <w:tblInd w:w="0" w:type="dxa"/>
        <w:tblLayout w:type="fixed"/>
        <w:tblCellMar>
          <w:top w:w="28" w:type="dxa"/>
          <w:left w:w="28" w:type="dxa"/>
          <w:bottom w:w="28" w:type="dxa"/>
          <w:right w:w="28" w:type="dxa"/>
        </w:tblCellMar>
      </w:tblPr>
      <w:tblGrid>
        <w:gridCol w:w="1456"/>
        <w:gridCol w:w="146"/>
        <w:gridCol w:w="239"/>
        <w:gridCol w:w="886"/>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held one auction rate security with a par value of $3,000,000 and an estimated fair value of approximately $2,525,000 and $2,462,000, respectively, purchased through and held in custody by a broker-dealer affiliate of Bank of America, N.A., that has experienced failed auctions (the “Failed Auction Security”) since February 2008. The Failed Auction Security held by the Company is Aaa/AA+ rated by major credit rating agencies, is collateralized by student loans, and is guaranteed by the U.S. Department of Education under the Federal Family Education Loan Program. Management is not aware of any reason to believe the issuer of the Failed Auction Security is presently at risk of default. Through June 30, 2026, the Company has continued to receive interest payments on the Failed Auction Security in accordance with the terms of its indenture. Management believes the Company ultimately should be able to liquidate the Failed Auction Security without significant loss primarily due to the overall quality of the issue held and the collateral securing the substantial majority of the underlying obligation. However, current conditions in the auction rate securities market have led management to conclude the recovery period for the Failed Auction Security exceeds 12 months. As a result, the Company continued to classify the Failed Auction Security as long-term as of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Details of our investments are as follows (in thousands):</w:t>
      </w:r>
    </w:p>
    <w:p>
      <w:pPr>
        <w:pStyle w:val="TextBody"/>
        <w:bidi w:val="0"/>
        <w:jc w:val="left"/>
        <w:rPr/>
      </w:pPr>
      <w:r>
        <w:rPr/>
        <w:t> </w:t>
      </w:r>
    </w:p>
    <w:tbl>
      <w:tblPr>
        <w:tblW w:w="5391" w:type="dxa"/>
        <w:jc w:val="left"/>
        <w:tblInd w:w="0" w:type="dxa"/>
        <w:tblLayout w:type="fixed"/>
        <w:tblCellMar>
          <w:top w:w="28" w:type="dxa"/>
          <w:left w:w="28" w:type="dxa"/>
          <w:bottom w:w="28" w:type="dxa"/>
          <w:right w:w="28" w:type="dxa"/>
        </w:tblCellMar>
      </w:tblPr>
      <w:tblGrid>
        <w:gridCol w:w="2446"/>
        <w:gridCol w:w="146"/>
        <w:gridCol w:w="252"/>
        <w:gridCol w:w="933"/>
        <w:gridCol w:w="146"/>
        <w:gridCol w:w="146"/>
        <w:gridCol w:w="251"/>
        <w:gridCol w:w="680"/>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measurement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on hand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391" w:type="dxa"/>
        <w:jc w:val="left"/>
        <w:tblInd w:w="0" w:type="dxa"/>
        <w:tblLayout w:type="fixed"/>
        <w:tblCellMar>
          <w:top w:w="28" w:type="dxa"/>
          <w:left w:w="28" w:type="dxa"/>
          <w:bottom w:w="28" w:type="dxa"/>
          <w:right w:w="28" w:type="dxa"/>
        </w:tblCellMar>
      </w:tblPr>
      <w:tblGrid>
        <w:gridCol w:w="2446"/>
        <w:gridCol w:w="146"/>
        <w:gridCol w:w="252"/>
        <w:gridCol w:w="933"/>
        <w:gridCol w:w="146"/>
        <w:gridCol w:w="146"/>
        <w:gridCol w:w="251"/>
        <w:gridCol w:w="680"/>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measurement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on hand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is a summary of the available-for-sale securities (in thousands):</w:t>
      </w:r>
    </w:p>
    <w:p>
      <w:pPr>
        <w:pStyle w:val="TextBody"/>
        <w:bidi w:val="0"/>
        <w:jc w:val="left"/>
        <w:rPr/>
      </w:pPr>
      <w:r>
        <w:rPr/>
        <w:t> </w:t>
      </w:r>
    </w:p>
    <w:tbl>
      <w:tblPr>
        <w:tblW w:w="6649" w:type="dxa"/>
        <w:jc w:val="left"/>
        <w:tblInd w:w="0" w:type="dxa"/>
        <w:tblLayout w:type="fixed"/>
        <w:tblCellMar>
          <w:top w:w="28" w:type="dxa"/>
          <w:left w:w="28" w:type="dxa"/>
          <w:bottom w:w="28" w:type="dxa"/>
          <w:right w:w="28" w:type="dxa"/>
        </w:tblCellMar>
      </w:tblPr>
      <w:tblGrid>
        <w:gridCol w:w="2056"/>
        <w:gridCol w:w="146"/>
        <w:gridCol w:w="211"/>
        <w:gridCol w:w="571"/>
        <w:gridCol w:w="146"/>
        <w:gridCol w:w="146"/>
        <w:gridCol w:w="262"/>
        <w:gridCol w:w="624"/>
        <w:gridCol w:w="146"/>
        <w:gridCol w:w="146"/>
        <w:gridCol w:w="228"/>
        <w:gridCol w:w="658"/>
        <w:gridCol w:w="146"/>
        <w:gridCol w:w="146"/>
        <w:gridCol w:w="222"/>
        <w:gridCol w:w="604"/>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49" w:type="dxa"/>
        <w:jc w:val="left"/>
        <w:tblInd w:w="0" w:type="dxa"/>
        <w:tblLayout w:type="fixed"/>
        <w:tblCellMar>
          <w:top w:w="28" w:type="dxa"/>
          <w:left w:w="28" w:type="dxa"/>
          <w:bottom w:w="28" w:type="dxa"/>
          <w:right w:w="28" w:type="dxa"/>
        </w:tblCellMar>
      </w:tblPr>
      <w:tblGrid>
        <w:gridCol w:w="2056"/>
        <w:gridCol w:w="146"/>
        <w:gridCol w:w="211"/>
        <w:gridCol w:w="571"/>
        <w:gridCol w:w="146"/>
        <w:gridCol w:w="146"/>
        <w:gridCol w:w="262"/>
        <w:gridCol w:w="624"/>
        <w:gridCol w:w="146"/>
        <w:gridCol w:w="146"/>
        <w:gridCol w:w="228"/>
        <w:gridCol w:w="658"/>
        <w:gridCol w:w="146"/>
        <w:gridCol w:w="146"/>
        <w:gridCol w:w="222"/>
        <w:gridCol w:w="604"/>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Failed Auction Security had been in an unrealized loss position for greater than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amortized cost and estimated fair value of the available-for-sale securities on June 30, 2026, by type and contractual maturities, are shown below (in thousands):</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38"/>
        <w:gridCol w:w="647"/>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sixteen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certain financial assets at fair value, defined as the price that would be received to sell an asset or paid to transfer a liability (i.e., an exit price) in the principal or most advantageous market for the asset or liability in an orderly transaction between market participants on the measurement date. As such, fair value is a market-based measurement that should be determined based on assumptions market participants would use in pricing an asset or liability. A three-level hierarchy is used to show the extent and level of judgment used to estimate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measured at fair value on a recurring basis included the following as of June 30, 2026 (in thousands):</w:t>
      </w:r>
    </w:p>
    <w:p>
      <w:pPr>
        <w:pStyle w:val="TextBody"/>
        <w:bidi w:val="0"/>
        <w:jc w:val="left"/>
        <w:rPr/>
      </w:pPr>
      <w:r>
        <w:rPr/>
        <w:t> </w:t>
      </w:r>
    </w:p>
    <w:tbl>
      <w:tblPr>
        <w:tblW w:w="7946" w:type="dxa"/>
        <w:jc w:val="left"/>
        <w:tblInd w:w="0" w:type="dxa"/>
        <w:tblLayout w:type="fixed"/>
        <w:tblCellMar>
          <w:top w:w="28" w:type="dxa"/>
          <w:left w:w="28" w:type="dxa"/>
          <w:bottom w:w="28" w:type="dxa"/>
          <w:right w:w="28" w:type="dxa"/>
        </w:tblCellMar>
      </w:tblPr>
      <w:tblGrid>
        <w:gridCol w:w="2256"/>
        <w:gridCol w:w="146"/>
        <w:gridCol w:w="239"/>
        <w:gridCol w:w="886"/>
        <w:gridCol w:w="146"/>
        <w:gridCol w:w="146"/>
        <w:gridCol w:w="352"/>
        <w:gridCol w:w="579"/>
        <w:gridCol w:w="146"/>
        <w:gridCol w:w="146"/>
        <w:gridCol w:w="295"/>
        <w:gridCol w:w="801"/>
        <w:gridCol w:w="146"/>
        <w:gridCol w:w="146"/>
        <w:gridCol w:w="239"/>
        <w:gridCol w:w="886"/>
        <w:gridCol w:w="391"/>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as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Assets and liabilities measured at fair value on a recurring basis included the following as of December 31, 2025 (in thousands):</w:t>
      </w:r>
    </w:p>
    <w:p>
      <w:pPr>
        <w:pStyle w:val="TextBody"/>
        <w:bidi w:val="0"/>
        <w:jc w:val="left"/>
        <w:rPr/>
      </w:pPr>
      <w:r>
        <w:rPr/>
        <w:t> </w:t>
      </w:r>
    </w:p>
    <w:tbl>
      <w:tblPr>
        <w:tblW w:w="8321" w:type="dxa"/>
        <w:jc w:val="left"/>
        <w:tblInd w:w="0" w:type="dxa"/>
        <w:tblLayout w:type="fixed"/>
        <w:tblCellMar>
          <w:top w:w="28" w:type="dxa"/>
          <w:left w:w="28" w:type="dxa"/>
          <w:bottom w:w="28" w:type="dxa"/>
          <w:right w:w="28" w:type="dxa"/>
        </w:tblCellMar>
      </w:tblPr>
      <w:tblGrid>
        <w:gridCol w:w="2256"/>
        <w:gridCol w:w="146"/>
        <w:gridCol w:w="239"/>
        <w:gridCol w:w="886"/>
        <w:gridCol w:w="146"/>
        <w:gridCol w:w="146"/>
        <w:gridCol w:w="352"/>
        <w:gridCol w:w="579"/>
        <w:gridCol w:w="146"/>
        <w:gridCol w:w="146"/>
        <w:gridCol w:w="295"/>
        <w:gridCol w:w="801"/>
        <w:gridCol w:w="146"/>
        <w:gridCol w:w="146"/>
        <w:gridCol w:w="319"/>
        <w:gridCol w:w="1181"/>
        <w:gridCol w:w="391"/>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as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Failed Auction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the estimated fair value calculated for the investment valued on a recurring basis utilizing Level 3 inputs (i.e., the Failed Auction Security) for the six months ended June 30, 2026 was as follows (in thousands):</w:t>
      </w:r>
    </w:p>
    <w:p>
      <w:pPr>
        <w:pStyle w:val="TextBody"/>
        <w:bidi w:val="0"/>
        <w:jc w:val="left"/>
        <w:rPr/>
      </w:pPr>
      <w:r>
        <w:rPr/>
        <w:t> </w:t>
      </w:r>
    </w:p>
    <w:tbl>
      <w:tblPr>
        <w:tblW w:w="4983" w:type="dxa"/>
        <w:jc w:val="left"/>
        <w:tblInd w:w="0" w:type="dxa"/>
        <w:tblLayout w:type="fixed"/>
        <w:tblCellMar>
          <w:top w:w="28" w:type="dxa"/>
          <w:left w:w="28" w:type="dxa"/>
          <w:bottom w:w="28" w:type="dxa"/>
          <w:right w:w="28" w:type="dxa"/>
        </w:tblCellMar>
      </w:tblPr>
      <w:tblGrid>
        <w:gridCol w:w="3901"/>
        <w:gridCol w:w="109"/>
        <w:gridCol w:w="211"/>
        <w:gridCol w:w="57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included in Other comprehensive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Management utilized a probability weighted discounted cash flow model to determine the estimated fair value as of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its Chief Operating Decision Maker (“CODM”) to be the Chief Executive Officer (“CEO”). The CEO reviews financial information presented on a consolidated basis for purposes of managing the business, allocating resources, making operating decisions and assessing financial performance. The Company is organized and operates as a single operating and reportable segment. The CODM assesses performance for the segment and decides how to allocate resources based on consolidated net income. The CODM manages the business using consolidated expense information for the single operating segment. All expense categories on the Condensed Consolidated Statements of Operations are significant and there are no other significant segment expenses that would require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offers a comprehensive range of modular building blocks enabling rapid design of a power system specific to a customer’s precise needs. Based on design, performance, and form factor considerations, as well as the range of evolving applications for which the products are appropriate, the Company categorizes its product portfolios as either Advanced Products or Brick Products, which together constitute one segment. Both product lines are built in the Company’s manufacturing facility in Andover, Massachusetts employing similar processing and production techniques, and are supported by the same sales and marketing organizations. The measure of segment assets is reported on the balance sheet as total consolidated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net revenues disaggregated by geography with respect to the Company’s single operating segment for the three and six months ended June 30, 2026 and 2025 (in thousands):</w:t>
      </w:r>
    </w:p>
    <w:p>
      <w:pPr>
        <w:pStyle w:val="TextBody"/>
        <w:bidi w:val="0"/>
        <w:spacing w:before="120" w:after="283"/>
        <w:jc w:val="left"/>
        <w:rPr/>
      </w:pPr>
      <w:r>
        <w:rPr/>
        <w:t> </w:t>
      </w:r>
    </w:p>
    <w:tbl>
      <w:tblPr>
        <w:tblW w:w="3802" w:type="dxa"/>
        <w:jc w:val="left"/>
        <w:tblInd w:w="0" w:type="dxa"/>
        <w:tblLayout w:type="fixed"/>
        <w:tblCellMar>
          <w:top w:w="28" w:type="dxa"/>
          <w:left w:w="28" w:type="dxa"/>
          <w:bottom w:w="28" w:type="dxa"/>
          <w:right w:w="28" w:type="dxa"/>
        </w:tblCellMar>
      </w:tblPr>
      <w:tblGrid>
        <w:gridCol w:w="1201"/>
        <w:gridCol w:w="146"/>
        <w:gridCol w:w="220"/>
        <w:gridCol w:w="815"/>
        <w:gridCol w:w="152"/>
        <w:gridCol w:w="152"/>
        <w:gridCol w:w="220"/>
        <w:gridCol w:w="705"/>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3814" w:type="dxa"/>
        <w:jc w:val="left"/>
        <w:tblInd w:w="0" w:type="dxa"/>
        <w:tblLayout w:type="fixed"/>
        <w:tblCellMar>
          <w:top w:w="28" w:type="dxa"/>
          <w:left w:w="28" w:type="dxa"/>
          <w:bottom w:w="28" w:type="dxa"/>
          <w:right w:w="28" w:type="dxa"/>
        </w:tblCellMar>
      </w:tblPr>
      <w:tblGrid>
        <w:gridCol w:w="1201"/>
        <w:gridCol w:w="146"/>
        <w:gridCol w:w="211"/>
        <w:gridCol w:w="781"/>
        <w:gridCol w:w="146"/>
        <w:gridCol w:w="146"/>
        <w:gridCol w:w="211"/>
        <w:gridCol w:w="78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$45,000,000 patent litigation settlement payment, as described in additional detail in Note 11, is not associated with any specific geography, therefore it is not included in the above 2025 tables.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long-lived tangible assets, as well as the Company’s operating lease right-of-use assets recognized on the Condensed Consolidated Balance Sheets were located as follows:</w:t>
      </w:r>
    </w:p>
    <w:p>
      <w:pPr>
        <w:pStyle w:val="TextBody"/>
        <w:bidi w:val="0"/>
        <w:spacing w:before="120" w:after="283"/>
        <w:jc w:val="left"/>
        <w:rPr/>
      </w:pPr>
      <w:r>
        <w:rPr/>
        <w:t> </w:t>
      </w:r>
    </w:p>
    <w:tbl>
      <w:tblPr>
        <w:tblW w:w="4455" w:type="dxa"/>
        <w:jc w:val="left"/>
        <w:tblInd w:w="0" w:type="dxa"/>
        <w:tblLayout w:type="fixed"/>
        <w:tblCellMar>
          <w:top w:w="28" w:type="dxa"/>
          <w:left w:w="28" w:type="dxa"/>
          <w:bottom w:w="28" w:type="dxa"/>
          <w:right w:w="28" w:type="dxa"/>
        </w:tblCellMar>
      </w:tblPr>
      <w:tblGrid>
        <w:gridCol w:w="1201"/>
        <w:gridCol w:w="146"/>
        <w:gridCol w:w="239"/>
        <w:gridCol w:w="886"/>
        <w:gridCol w:w="146"/>
        <w:gridCol w:w="146"/>
        <w:gridCol w:w="319"/>
        <w:gridCol w:w="118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condensed consolidated financial statements and footnotes for other financial information regarding the Company’s operating segment.</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net revenues disaggregated by geography based on the location of the customer, by product line (in thousands):</w:t>
      </w:r>
    </w:p>
    <w:p>
      <w:pPr>
        <w:pStyle w:val="TextBody"/>
        <w:bidi w:val="0"/>
        <w:jc w:val="left"/>
        <w:rPr/>
      </w:pPr>
      <w:r>
        <w:rPr/>
        <w:t> </w:t>
      </w:r>
    </w:p>
    <w:tbl>
      <w:tblPr>
        <w:tblW w:w="5814" w:type="dxa"/>
        <w:jc w:val="left"/>
        <w:tblInd w:w="0" w:type="dxa"/>
        <w:tblLayout w:type="fixed"/>
        <w:tblCellMar>
          <w:top w:w="28" w:type="dxa"/>
          <w:left w:w="28" w:type="dxa"/>
          <w:bottom w:w="28" w:type="dxa"/>
          <w:right w:w="28" w:type="dxa"/>
        </w:tblCellMar>
      </w:tblPr>
      <w:tblGrid>
        <w:gridCol w:w="1201"/>
        <w:gridCol w:w="146"/>
        <w:gridCol w:w="282"/>
        <w:gridCol w:w="903"/>
        <w:gridCol w:w="146"/>
        <w:gridCol w:w="146"/>
        <w:gridCol w:w="360"/>
        <w:gridCol w:w="1155"/>
        <w:gridCol w:w="146"/>
        <w:gridCol w:w="146"/>
        <w:gridCol w:w="211"/>
        <w:gridCol w:w="78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14" w:type="dxa"/>
        <w:jc w:val="left"/>
        <w:tblInd w:w="0" w:type="dxa"/>
        <w:tblLayout w:type="fixed"/>
        <w:tblCellMar>
          <w:top w:w="28" w:type="dxa"/>
          <w:left w:w="28" w:type="dxa"/>
          <w:bottom w:w="28" w:type="dxa"/>
          <w:right w:w="28" w:type="dxa"/>
        </w:tblCellMar>
      </w:tblPr>
      <w:tblGrid>
        <w:gridCol w:w="1201"/>
        <w:gridCol w:w="146"/>
        <w:gridCol w:w="282"/>
        <w:gridCol w:w="903"/>
        <w:gridCol w:w="146"/>
        <w:gridCol w:w="146"/>
        <w:gridCol w:w="322"/>
        <w:gridCol w:w="1193"/>
        <w:gridCol w:w="146"/>
        <w:gridCol w:w="146"/>
        <w:gridCol w:w="211"/>
        <w:gridCol w:w="78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09" w:type="dxa"/>
        <w:jc w:val="left"/>
        <w:tblInd w:w="0" w:type="dxa"/>
        <w:tblLayout w:type="fixed"/>
        <w:tblCellMar>
          <w:top w:w="28" w:type="dxa"/>
          <w:left w:w="28" w:type="dxa"/>
          <w:bottom w:w="28" w:type="dxa"/>
          <w:right w:w="28" w:type="dxa"/>
        </w:tblCellMar>
      </w:tblPr>
      <w:tblGrid>
        <w:gridCol w:w="1201"/>
        <w:gridCol w:w="146"/>
        <w:gridCol w:w="282"/>
        <w:gridCol w:w="903"/>
        <w:gridCol w:w="146"/>
        <w:gridCol w:w="146"/>
        <w:gridCol w:w="360"/>
        <w:gridCol w:w="1155"/>
        <w:gridCol w:w="146"/>
        <w:gridCol w:w="146"/>
        <w:gridCol w:w="211"/>
        <w:gridCol w:w="676"/>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14" w:type="dxa"/>
        <w:jc w:val="left"/>
        <w:tblInd w:w="0" w:type="dxa"/>
        <w:tblLayout w:type="fixed"/>
        <w:tblCellMar>
          <w:top w:w="28" w:type="dxa"/>
          <w:left w:w="28" w:type="dxa"/>
          <w:bottom w:w="28" w:type="dxa"/>
          <w:right w:w="28" w:type="dxa"/>
        </w:tblCellMar>
      </w:tblPr>
      <w:tblGrid>
        <w:gridCol w:w="1201"/>
        <w:gridCol w:w="146"/>
        <w:gridCol w:w="282"/>
        <w:gridCol w:w="903"/>
        <w:gridCol w:w="146"/>
        <w:gridCol w:w="146"/>
        <w:gridCol w:w="322"/>
        <w:gridCol w:w="1193"/>
        <w:gridCol w:w="146"/>
        <w:gridCol w:w="146"/>
        <w:gridCol w:w="211"/>
        <w:gridCol w:w="78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Company’s net revenues disaggregated by the category of revenue, by product line (in thousands):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8379" w:type="dxa"/>
        <w:jc w:val="left"/>
        <w:tblInd w:w="0" w:type="dxa"/>
        <w:tblLayout w:type="fixed"/>
        <w:tblCellMar>
          <w:top w:w="28" w:type="dxa"/>
          <w:left w:w="28" w:type="dxa"/>
          <w:bottom w:w="28" w:type="dxa"/>
          <w:right w:w="28" w:type="dxa"/>
        </w:tblCellMar>
      </w:tblPr>
      <w:tblGrid>
        <w:gridCol w:w="3766"/>
        <w:gridCol w:w="146"/>
        <w:gridCol w:w="282"/>
        <w:gridCol w:w="903"/>
        <w:gridCol w:w="146"/>
        <w:gridCol w:w="146"/>
        <w:gridCol w:w="360"/>
        <w:gridCol w:w="1155"/>
        <w:gridCol w:w="146"/>
        <w:gridCol w:w="146"/>
        <w:gridCol w:w="211"/>
        <w:gridCol w:w="781"/>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customers, contract manufacturers and</w:t>
              <w:br/>
              <w:t>   non-stocking distributors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Stocking distributors, net of sales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3766"/>
        <w:gridCol w:w="146"/>
        <w:gridCol w:w="282"/>
        <w:gridCol w:w="903"/>
        <w:gridCol w:w="146"/>
        <w:gridCol w:w="146"/>
        <w:gridCol w:w="322"/>
        <w:gridCol w:w="1193"/>
        <w:gridCol w:w="146"/>
        <w:gridCol w:w="146"/>
        <w:gridCol w:w="211"/>
        <w:gridCol w:w="781"/>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customers, contract manufacturers and</w:t>
              <w:br/>
              <w:t>   non-stocking distributors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Stocking distributors, net of sales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74" w:type="dxa"/>
        <w:jc w:val="left"/>
        <w:tblInd w:w="0" w:type="dxa"/>
        <w:tblLayout w:type="fixed"/>
        <w:tblCellMar>
          <w:top w:w="28" w:type="dxa"/>
          <w:left w:w="28" w:type="dxa"/>
          <w:bottom w:w="28" w:type="dxa"/>
          <w:right w:w="28" w:type="dxa"/>
        </w:tblCellMar>
      </w:tblPr>
      <w:tblGrid>
        <w:gridCol w:w="3766"/>
        <w:gridCol w:w="146"/>
        <w:gridCol w:w="282"/>
        <w:gridCol w:w="903"/>
        <w:gridCol w:w="146"/>
        <w:gridCol w:w="146"/>
        <w:gridCol w:w="360"/>
        <w:gridCol w:w="1155"/>
        <w:gridCol w:w="146"/>
        <w:gridCol w:w="146"/>
        <w:gridCol w:w="211"/>
        <w:gridCol w:w="676"/>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customers, contract manufacturers and</w:t>
              <w:br/>
              <w:t>   non-stocking distributors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Stocking distributors, net of sales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3766"/>
        <w:gridCol w:w="146"/>
        <w:gridCol w:w="282"/>
        <w:gridCol w:w="903"/>
        <w:gridCol w:w="146"/>
        <w:gridCol w:w="146"/>
        <w:gridCol w:w="322"/>
        <w:gridCol w:w="1193"/>
        <w:gridCol w:w="146"/>
        <w:gridCol w:w="146"/>
        <w:gridCol w:w="211"/>
        <w:gridCol w:w="781"/>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Brick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Advanced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customers, contract manufacturers and</w:t>
              <w:br/>
              <w:t>   non-stocking distributors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Stocking distributors, net of sales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changes in certain contract liabilities (in thousands):</w:t>
      </w:r>
    </w:p>
    <w:p>
      <w:pPr>
        <w:pStyle w:val="TextBody"/>
        <w:bidi w:val="0"/>
        <w:jc w:val="left"/>
        <w:rPr/>
      </w:pPr>
      <w:r>
        <w:rPr/>
        <w:t> </w:t>
      </w:r>
    </w:p>
    <w:tbl>
      <w:tblPr>
        <w:tblW w:w="9024" w:type="dxa"/>
        <w:jc w:val="left"/>
        <w:tblInd w:w="0" w:type="dxa"/>
        <w:tblLayout w:type="fixed"/>
        <w:tblCellMar>
          <w:top w:w="28" w:type="dxa"/>
          <w:left w:w="28" w:type="dxa"/>
          <w:bottom w:w="28" w:type="dxa"/>
          <w:right w:w="28" w:type="dxa"/>
        </w:tblCellMar>
      </w:tblPr>
      <w:tblGrid>
        <w:gridCol w:w="4576"/>
        <w:gridCol w:w="146"/>
        <w:gridCol w:w="282"/>
        <w:gridCol w:w="843"/>
        <w:gridCol w:w="166"/>
        <w:gridCol w:w="146"/>
        <w:gridCol w:w="376"/>
        <w:gridCol w:w="1124"/>
        <w:gridCol w:w="166"/>
        <w:gridCol w:w="146"/>
        <w:gridCol w:w="211"/>
        <w:gridCol w:w="63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deferred revenue and customer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deferred revenue, which represents a contract liability, when cash payments are received or due in advance of performance under a contract with a customer. The Company did not recognize any revenue for the three and six months ended June 30, 2026, and recognized revenue of approximately $574,000 and $1,686,000 for the three and six months ended June 30, 2025, respectively, that was included in deferred revenue at the beginning of the respective period.</w:t>
      </w:r>
    </w:p>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calculate the fair value of stock option awards, whether they possess time-based vesting provisions or performance-based vesting provisions, and awards granted under the Vicor Corporation 2017 Employee Stock Purchase Plan (“ESPP”), as of their grant date. Stock-based compensation expense was as follows (in thousands):</w:t>
      </w:r>
    </w:p>
    <w:p>
      <w:pPr>
        <w:pStyle w:val="TextBody"/>
        <w:bidi w:val="0"/>
        <w:jc w:val="left"/>
        <w:rPr/>
      </w:pPr>
      <w:r>
        <w:rPr/>
        <w:t> </w:t>
      </w:r>
    </w:p>
    <w:tbl>
      <w:tblPr>
        <w:tblW w:w="7297" w:type="dxa"/>
        <w:jc w:val="left"/>
        <w:tblInd w:w="0" w:type="dxa"/>
        <w:tblLayout w:type="fixed"/>
        <w:tblCellMar>
          <w:top w:w="28" w:type="dxa"/>
          <w:left w:w="28" w:type="dxa"/>
          <w:bottom w:w="28" w:type="dxa"/>
          <w:right w:w="28" w:type="dxa"/>
        </w:tblCellMar>
      </w:tblPr>
      <w:tblGrid>
        <w:gridCol w:w="2956"/>
        <w:gridCol w:w="146"/>
        <w:gridCol w:w="211"/>
        <w:gridCol w:w="571"/>
        <w:gridCol w:w="146"/>
        <w:gridCol w:w="146"/>
        <w:gridCol w:w="211"/>
        <w:gridCol w:w="571"/>
        <w:gridCol w:w="146"/>
        <w:gridCol w:w="146"/>
        <w:gridCol w:w="211"/>
        <w:gridCol w:w="571"/>
        <w:gridCol w:w="146"/>
        <w:gridCol w:w="146"/>
        <w:gridCol w:w="211"/>
        <w:gridCol w:w="57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Compensation expense by type of award was as follows (in thousands):</w:t>
      </w:r>
    </w:p>
    <w:p>
      <w:pPr>
        <w:pStyle w:val="TextBody"/>
        <w:bidi w:val="0"/>
        <w:jc w:val="left"/>
        <w:rPr/>
      </w:pPr>
      <w:r>
        <w:rPr/>
        <w:t> </w:t>
      </w:r>
    </w:p>
    <w:tbl>
      <w:tblPr>
        <w:tblW w:w="7087" w:type="dxa"/>
        <w:jc w:val="left"/>
        <w:tblInd w:w="0" w:type="dxa"/>
        <w:tblLayout w:type="fixed"/>
        <w:tblCellMar>
          <w:top w:w="28" w:type="dxa"/>
          <w:left w:w="28" w:type="dxa"/>
          <w:bottom w:w="28" w:type="dxa"/>
          <w:right w:w="28" w:type="dxa"/>
        </w:tblCellMar>
      </w:tblPr>
      <w:tblGrid>
        <w:gridCol w:w="2746"/>
        <w:gridCol w:w="146"/>
        <w:gridCol w:w="211"/>
        <w:gridCol w:w="571"/>
        <w:gridCol w:w="146"/>
        <w:gridCol w:w="146"/>
        <w:gridCol w:w="211"/>
        <w:gridCol w:w="571"/>
        <w:gridCol w:w="146"/>
        <w:gridCol w:w="146"/>
        <w:gridCol w:w="211"/>
        <w:gridCol w:w="571"/>
        <w:gridCol w:w="146"/>
        <w:gridCol w:w="146"/>
        <w:gridCol w:w="211"/>
        <w:gridCol w:w="571"/>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Rental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net under the Company’s operating lease agreement, for its owned facility leased to a third party in California, was approximately $284,000 for the three-month periods ended June 30, 2026 and 2025, and $567,000 for the six-month periods ended June 30, 2026 and 2025. The initial term of the lease agreement expired on May 31, 2024 and was extended for an additional eighty-four months, commencing June 1, 2024 and ending May 31, 2031.</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Income Taxes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(benefit) provision for income taxes is based on the estimated annual effective tax rate for the year which includes estimated federal, state and foreign income taxes on the Company's projected pre-tax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(benefit) provision for income taxes and the effective income tax rates were as follows (dollars in thousands):</w:t>
      </w:r>
    </w:p>
    <w:p>
      <w:pPr>
        <w:pStyle w:val="TextBody"/>
        <w:bidi w:val="0"/>
        <w:jc w:val="left"/>
        <w:rPr/>
      </w:pPr>
      <w:r>
        <w:rPr/>
        <w:t> </w:t>
      </w:r>
    </w:p>
    <w:tbl>
      <w:tblPr>
        <w:tblW w:w="8337" w:type="dxa"/>
        <w:jc w:val="left"/>
        <w:tblInd w:w="0" w:type="dxa"/>
        <w:tblLayout w:type="fixed"/>
        <w:tblCellMar>
          <w:top w:w="28" w:type="dxa"/>
          <w:left w:w="28" w:type="dxa"/>
          <w:bottom w:w="28" w:type="dxa"/>
          <w:right w:w="28" w:type="dxa"/>
        </w:tblCellMar>
      </w:tblPr>
      <w:tblGrid>
        <w:gridCol w:w="3046"/>
        <w:gridCol w:w="146"/>
        <w:gridCol w:w="211"/>
        <w:gridCol w:w="736"/>
        <w:gridCol w:w="331"/>
        <w:gridCol w:w="146"/>
        <w:gridCol w:w="211"/>
        <w:gridCol w:w="571"/>
        <w:gridCol w:w="271"/>
        <w:gridCol w:w="146"/>
        <w:gridCol w:w="211"/>
        <w:gridCol w:w="736"/>
        <w:gridCol w:w="331"/>
        <w:gridCol w:w="146"/>
        <w:gridCol w:w="211"/>
        <w:gridCol w:w="571"/>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effective tax rates differ from the statutory tax rates for the three and six months ended June 30, 2026 primarily due to excess deductions related to share-based compensation, and for the three and six months ended June 30, 2025 primarily due to the Company’s full valuation allowance position against net domestic deferred tax assets as of June 30, 2025. The (benefit) provision for income taxes for the three and six months ended June 30, 2026 and 2025 included estimated federal, state, and foreign income taxes in jurisdictions in which the Company does not have sufficient tax attributes.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released its valuation allowance on the majority of its deferred tax assets as of December 31, 2025. The Company maintained a valuation allowance of $17,500,000 related primarily to state tax attributes as of June 30, 2026. On a periodic basis, the Company reassesses any valuation allowances that it maintains on its deferred tax assets, weighing positive and negative evidence to assess the recoverability of the deferred tax assets. </w:t>
      </w:r>
    </w:p>
    <w:p>
      <w:pPr>
        <w:pStyle w:val="TextBody"/>
        <w:bidi w:val="0"/>
        <w:spacing w:before="40" w:after="283"/>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income per share (in thousands, except per share amounts):</w:t>
      </w:r>
    </w:p>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4881"/>
        <w:gridCol w:w="146"/>
        <w:gridCol w:w="211"/>
        <w:gridCol w:w="676"/>
        <w:gridCol w:w="146"/>
        <w:gridCol w:w="146"/>
        <w:gridCol w:w="211"/>
        <w:gridCol w:w="676"/>
        <w:gridCol w:w="146"/>
        <w:gridCol w:w="146"/>
        <w:gridCol w:w="211"/>
        <w:gridCol w:w="676"/>
        <w:gridCol w:w="146"/>
        <w:gridCol w:w="146"/>
        <w:gridCol w:w="211"/>
        <w:gridCol w:w="676"/>
        <w:gridCol w:w="5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Vicor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basic net income per share – weighted</w:t>
              <w:br/>
              <w:t>   average shares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Employee stock options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diluted net income per share – adjusted</w:t>
              <w:br/>
              <w:t>   weighted-average shares and assumed 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Denominator represents the weighted average number of shares of Common Stock and Class B Common Stock outstanding.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Options to purchase 97,985 and 62,447 shares of Common Stock for the three and six months ended June 30, 2026, respectively, were not included in the calculation of net income per share as the effect would have been antidilutive. Options to purchase 2,170,585 and 1,353,021 shares of Common Stock for each of the three and six months ended June 30, 2025, respectively, were not included in the calculation of net income per share as the effect would have been antidilutive.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Commitments and Contingencies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Capital Expenditure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Company had approximately $22,745,000 of cancelable and non-cancelable capital expenditure commitments, principally for manufacturing equipment.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SynQor Litigation and Payment of Final Judgment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previously reported in its Quarterly Reports on Form 10-Q and Annual Reports on Form 10-K, the Company is the defendant in a patent infringement lawsuit originally filed on January 28, 2011 by SynQor, Inc. (“SynQor”) in the U.S. District Court for the Eastern District of Texas (the “District Court”). SynQor alleged that certain of the Company’s products infringed certain United States Patents owned by SynQor.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26, 2022, after a trial in the District Court, the jury returned a verdict finding that the Company willfully infringed one SynQor patent, and awarding SynQor damages in the amount of $6,500,000.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the District Court issued an Amended Corrected Final Judgment, awarding SynQor actual damages of $6,500,000, enhanced damages of $4,500,000, costs in the amount of approximately $87,000, attorney fees in the amount of $9,500,000, and pre-judgment interest of approximately $5,400,000, for a total judgment of approximately $26,000,000. In addition, the District Court ordered that post-judgment interest would accrue at an amount of $2,323 per day starting on April 24, 2024 until the judgment is paid, compounded annually, and that additional post-judgment interest in the amount of $1,351 per day would accrue starting on May 20, 2024 until the judgment is paid, compounded annually.</w:t>
        <w:b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22, 2024, the Company filed an appeal of the District Court’s judgment to the United States Court of Appeals for the Federal Circuit. On February 13, 2026, the United States Court of Appeals for the Federal Circuit affirmed the District Court’s judgment. On March 18, 2026, the Company paid SynQor $28,557,256, representing the full amount due under the District Court's judgment, inclusive of post-judgment interest.</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Class Action Litigation in the U.S. District Court for the Northern District of California</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11, 2024, purported short sellers of the Company’s stock filed a putative class action lawsuit in the U.S. District Court for the Northern District of California styled </w:t>
      </w:r>
      <w:r>
        <w:rPr>
          <w:rFonts w:ascii="Times New Roman" w:hAnsi="Times New Roman"/>
          <w:i/>
          <w:color w:val="000000"/>
          <w:sz w:val="20"/>
        </w:rPr>
        <w:t>Benjamin Pouladian et al. v. Vicor Corporation et al.</w:t>
      </w:r>
      <w:r>
        <w:rPr>
          <w:rFonts w:ascii="Times New Roman" w:hAnsi="Times New Roman"/>
          <w:color w:val="000000"/>
          <w:sz w:val="20"/>
        </w:rPr>
        <w:t xml:space="preserve">, case number 3:24-cv-04196. The suit was brought against the Company and the Company’s Chief Executive Officer, President, and Chairman (the "Defendants"). The plaintiffs alleged violations of Sections 10(b) and 20(a) of the Securities Exchange Act of 1934, as amended (the “Exchange Act”), and Rule 10b-5(b) promulgated thereunder, due to allegedly false and misleading statements during earnings calls in 2023 about the Company’s commercial relationship with an existing customer. The complaint sought damages, interest and attorneys’ fees and costs. The court appointed lead plaintiffs on October 24, 2024 and restyled the case as </w:t>
      </w:r>
      <w:r>
        <w:rPr>
          <w:rFonts w:ascii="Times New Roman" w:hAnsi="Times New Roman"/>
          <w:i/>
          <w:color w:val="000000"/>
          <w:sz w:val="20"/>
        </w:rPr>
        <w:t xml:space="preserve">In re Vicor Securities Litigation. </w:t>
      </w:r>
      <w:r>
        <w:rPr>
          <w:rFonts w:ascii="Times New Roman" w:hAnsi="Times New Roman"/>
          <w:color w:val="000000"/>
          <w:sz w:val="20"/>
        </w:rPr>
        <w:t xml:space="preserve">An amended complaint was filed on November 22, 2024 which similarly alleged purported violations of Sections 10(b) and 20(a) of the Exchange Act and Rule 10b-5(b) promulgated thereunder. The Defendants filed their motion to dismiss the amended complaint on January 20, 2025 and, on June 6, 2025, the U.S. District Court for the Northern District of California granted the motion to dismiss with leave to amend.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Settlement of Certain Intellectual Property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 2025, the Company entered into various settlement agreements to resolve lawsuits, arbitrations, and appeals related to certain intellectual property claims between the Company and certain parties, pursuant to which a total of $45,000,000 was paid to the Company in May 2025 (collectively, the “patent litigation settlement”). The Company incurred $5,100,000 in legal fees in connection with the patent litigation settlement, which were paid in June 2025.</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Other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is involved in certain other litigation and claims incidental to the conduct of its business, both as a defendant and a plaintiff. While the outcome of such other lawsuits and claims against the Company cannot be predicted with certainty, management does not expect such litigation or claims will have a material adverse impact on the Company’s financial position or results of operations.</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Impact of Recently Issued Accounting Standards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120" w:after="283"/>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 xml:space="preserve">Government Grants (Topic 832): Accounting for Government Grants Received by Business Entities </w:t>
      </w:r>
      <w:r>
        <w:rPr>
          <w:rFonts w:ascii="Times New Roman" w:hAnsi="Times New Roman"/>
          <w:color w:val="000000"/>
          <w:sz w:val="20"/>
        </w:rPr>
        <w:t>(“ASU 2025-10”),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w:t>
      </w:r>
    </w:p>
    <w:p>
      <w:pPr>
        <w:pStyle w:val="TextBody"/>
        <w:bidi w:val="0"/>
        <w:jc w:val="left"/>
        <w:rPr>
          <w:rFonts w:ascii="Times New Roman" w:hAnsi="Times New Roman"/>
          <w:color w:val="000000"/>
          <w:sz w:val="20"/>
        </w:rPr>
      </w:pPr>
      <w:r>
        <w:rPr>
          <w:rFonts w:ascii="Times New Roman" w:hAnsi="Times New Roman"/>
          <w:color w:val="000000"/>
          <w:sz w:val="20"/>
        </w:rPr>
        <w:t>Other new pronouncements issued but not effective until after June 30, 2026 are not expected to have a material impact on the Company’s consolidated financial statements.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jc w:val="left"/>
        <w:rPr>
          <w:rFonts w:ascii="Times New Roman" w:hAnsi="Times New Roman"/>
          <w:color w:val="000000"/>
          <w:sz w:val="20"/>
          <w:u w:val="single"/>
        </w:rPr>
      </w:pPr>
      <w:bookmarkStart w:id="13" w:name="mda"/>
      <w:bookmarkEnd w:id="13"/>
      <w:r>
        <w:rPr>
          <w:rFonts w:ascii="Times New Roman" w:hAnsi="Times New Roman"/>
          <w:color w:val="000000"/>
          <w:sz w:val="20"/>
          <w:u w:val="single"/>
        </w:rPr>
        <w:t>Item 2 —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Cautionary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operating results are affected by a wide variety of factors that could materially and adversely affect revenues and profitability, including the risk factors described in the Company’s Annual Report on Form 10-K for the year ended December 31, 2025. As a result of these and other factors, the Company may experience material fluctuations in future operating results on a quarterly or annual basis, which could materially and adversely affect its business, consolidated financial condition, operating results, and the share price of its Common Stock. This document and other documents filed by the Company with the Securities and Exchange Commission (“SEC”) include forward-looking statements regarding future events and the Company’s future results that are subject to the safe harbor afforded under the Private Securities Litigation Reform Act of 1995 and other safe harbors afforded under the Securities Act of 1933 and the Securities Exchange Act of 1934. All statements other than statements of historical fact are statements that could be deemed forward-looking statements. Forward-looking statements are based on our current beliefs, expectations, estimates, forecasts, and projections for the future performance of the Company and are subject to risks and uncertainties. Forward-looking statements are identified by the use of words denoting uncertain, future events, such as “anticipate,” “assume,” “believe,” “continue,” “could,” “estimate,” “expect,” “future,” “goal,” “if,” “intend,” “may,” “plan,” “potential,” “project,” “prospective,” “seek,” “should,” “target,” “will,” or “would,” as well as similar words and phrases, including the negatives of these terms, or other variations thereof. Forward-looking statements also include, but are not limited to, statements regarding: our ability to address certain supply chain risks; our ongoing development of power conversion architectures, switching topologies, materials, packaging, and products; the ongoing transition of our business strategically, organizationally, and operationally from serving a large number of relatively low-volume customers across diversified markets and geographies to serving a small number of relatively large volume customers; our intent to enter new market segments; the levels of customer orders overall and, in particular, from large customers and the delivery lead times associated therewith; anticipated new and existing customer wins; the financial and operational impact of customer changes to shipping schedules; the derivation of a portion of our sales in each quarter from orders booked in the same quarter; our intent to expand the percentage of revenue associated with licensing our intellectual property to third parties; our plans to invest in expanded manufacturing capacity, including the implementation of new manufacturing processes; our belief that cash generated from operations together with our available cash and cash equivalents will be sufficient to fund planned operational needs and capital equipment purchases, for the foreseeable future; our outlook regarding tariffs and the impact thereof on our business; our belief that we have limited exposure to currency risks; our intentions regarding the declaration and payment of cash dividends; our intentions regarding protecting our rights under our patents; and our expectation that no current litigation or claims will have a material adverse impact on our financial position or results of operations. These forward-looking statements are based upon our current expectations and estimates associated with prospective events and circumstances that may or may not be within our control and as to which there can be no assurance. Actual results could differ materially from those implied by forward-looking statements as a result of various factors, including but not limited to those described above, as well as those described in the Company’s Annual Report on Form 10-K for the year ended December 31, 2025 under Part I, Item 1 — “Business,” under Part I, Item 1A — “Risk Factors,” under Part I, Item 3 — “Legal Proceedings,” and under Part II, Item 7 — “Management’s Discussion and Analysis of Financial Condition and Results of Operations” and those described in this Quarterly Report on Form 10-Q, particularly under Part I, Item 2 — “Management’s Discussion and Analysis of Financial Condition and Results of Operations.” The discussion of our business contained herein, including the identification and assessment of factors that may influence actual results, may not be exhaustive. Therefore, the information presented should be read together with other documents we file with the SEC from time to time, including our Annual Reports on Form 10-K, our Quarterly Reports on Form 10-Q and our Current Reports on Form 8-K, which may supplement, modify, supersede, or update the factors discussed in this Quarterly Report on Form 10-Q. Any forward-looking statement made in this Quarterly Report on Form 10-Q is based on information currently available to us and speaks only as of the date on which it is made. We do not undertake any obligation to update any forward-looking statements as a result of future events or developments, except as required by law.</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 develop, manufacture, and market modular power components and power systems for converting electrical power for use in electrically-powered devices. Our competitive position is supported by innovations in product design and achievements in product performance, largely enabled by our focus on the research and development of advanced technologies and processes, often implemented in proprietary semiconductor circuitry, materials, and packaging. Many of our products incorporate patented or proprietary implementations of high-frequency switching topologies enabling power system solutions that are more efficient and much smaller than conventional alternatives. Our strategy emphasizes demonstrable product differentiation and a value proposition based on competitively superior solution performance, advantageous design flexibility, and a compelling total cost of ownership. While we offer a wide range of alternating current (“AC”) and direct current (“DC”) power conversion products, we consider our core competencies to be associated with 48V DC distribution, which offers numerous inherent cost and performance advantages over lower distribution voltages. However, we also offer products addressing other DC voltage standards (e.g., 380V for power distribution in data centers, 110V for rail applications, 28V for military and avionics applications, and 24V for industrial automation).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design, performance, and form factor considerations, as well as the range of evolving applications for which our products are appropriate, we categorize our product portfolios as either “Advanced Products” or “Brick Products.” The Advanced Products category consists of our more recently introduced products, which are largely used to implement our proprietary Factorized Power Architecture (“FPA”), an innovative power distribution architecture enabling flexible, rapid power system design using individual components optimized to perform a specific conversion function.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Brick Products category largely consists of our broad and well-established families of integrated power converters, incorporating multiple conversion stages, used in conventional power systems architectures. Given the growth profiles of the markets we serve with our Advanced Products line and our Brick Products line, our strategy involves a continuing transition in organizational focus, emphasizing investment in our Advanced Products line and targeting high growth market segments with a low-mix, high-volume operational model, while maintaining a profitable business in the mature market segments we serve with our Brick Products line with a high-mix, low-volume operational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applications in which our Advanced Products and Brick Products are used are typically in the higher-performance, higher-power segments of the market segments we serve. With our Advanced Products, we generally serve large Original Equipment Manufacturers (“OEMs”), Original Design Manufacturers (“ODMs”), and their contract manufacturers, with sales currently concentrated in the data center and hyperscaler segments of enterprise computing, in which our products are used for power delivery on server motherboards, in server racks, and across datacenter infrastructure. We have established a leadership position in the emerging market segment for powering high-performance processors used for acceleration of applications associated with artificial intelligence (“AI”). Our customers in the AI market segment include the leading innovators in processor and accelerator design, as well as early adopters in cloud computing and high performance computing. We also serve applications in aerospace and aviation, defense electronics, satellites, factory automation, instrumentation, test equipment, transportation, telecommunications and networking infrastructure, and vehicles (notably in the autonomous driving, electric vehicle, and hybrid vehicle niches of the vehicle segment). With our Brick Products, we generally serve a fragmented base of large and small customers, concentrated in aerospace and defense electronics, industrial equipment, instrumentation and test equipment, and transportation (notably in rail and heavy equipment applications). With our strategic emphasis on larger, high-volume customers, we expect to experience over time a greater concentration of sales, including from intellectual property licensing, among relatively fewer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quarterly consolidated operating results can be difficult to forecast and have been subject to significant fluctuations. We plan our production and inventory levels based on management’s estimates of customer demand, customer forecasts, and other information sources. Customer forecasts, particularly those of OEM, ODM, and contract manufacturing customers to which we supply Advanced Products in high volumes, are subject to scheduling changes on short notice, contributing to operating inefficiencies and excess costs. In addition, external factors such as supply chain uncertainties, which are often associated with the cyclicality of the electronics industry, regional macroeconomic and trade-related circumstances, and force majeure events, have caused our operating results to vary meaningfully. Supply chain disruptions, including those associated with our reliance on outsourced package process steps that are essential in the production of some of our Advanced Products, and those relating, for example, to the procurement of raw material, have in the past negatively impacted and may in the future negatively impact our operating results. We have taken steps to mitigate the impact of supply chain disruptions by, among other things and in varying degrees, moving outsourced manufacturing steps in-house to the Company, ordering supplies with extended lead times, paying higher prices for certain supplies or outsourced production, and expediting deliveries at a cost premium. The resulting impact of the steps taken to mitigate supply chain disruptions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to varying degrees and at different times, reduced our revenue, gross margin, operating profit and cash flow and may continue to do so in the future. Our quarterly gross margin as a percentage of net revenues may vary, depending on production volumes, licensing income, average selling prices, average unit costs, the mix of products sold during that quarter, and the level of importation of raw materials subject to tariffs. Our quarterly operating margin as a percentage of net revenues also may vary with changes in revenue and product level profitability, but our operating costs are largely associated with compensation and related employee costs, which are not subject to sudden or significant changes.</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Second Quarter 2026 Financial Performance Compared to First Quarter 2026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financial performance for the second quarter of 2026, compared to the first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net revenues increased 26.9% to $143,352,000 for the second quarter of 2026, from $112,969,000 for the first quarter of 2026. Net revenues for Brick Products increased 2.4% compared to the first quarter of 2026, primarily due to improved market demand. Advanced Products net revenues increased 45.0% compared to the first quarter of 2026, primarily due to improved market demand and higher royalty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Export sales represented approximately 46.0% of total net revenues in the second quarter of 2026 as compared to 48.9% in the first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for the second quarter of 2026 increased $20,754,000, or 33.3% to $83,120,000 from $62,366,000 for the first quarter of 2026. Gross margin, as a percentage of net revenues and patent litigation settlement, increased to 58.0% for the second quarter of 2026 from 55.2% for the first quarter of 2026. The increase in gross margin dollars and gross margin percentage was primarily attributable to the favorable impact from higher sales volume, including royalty revenue, offset by an increase in freight-in and tariff spending of $704,000 (net of approximately $11,000 in duty drawback recovery in the second quarter of 2026 and $193,000 in duty drawback recovery in the first quarter of 2026 of previously paid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Backlog, which represents the total value of orders for products for which shipment is scheduled within the next 12 months, was approximately $379,736,000 at the end of the second quarter of 2026, as compared to $300,616,000 at the end of the first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second quarter of 2026 increased $2,760,000, or 6.1%, to $48,242,000 from $45,482,000 for the first quarter of 2026, due to an increase in selling, general and administrative expenses of $4,409,000, offset by a decrease in research and development expenses of $1,649,000.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reported net income for the second quarter of 2026 of $49,772,000, or $1.04 per diluted share, compared to net income of $20,664,000, or $0.44 per diluted share, for the first quarter of 2026. Net income in the first and second quarters of 2026 include tax benefits due to excess deductions related to share-based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 quarter of 2026, depreciation and amortization totaled $5,423,000 and capital additions totaled $11,173,000 as compared to depreciation and amortization of $5,337,000 and capital additions of $12,387,000 for the first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increased by approximately $9,659,000, or 10.2%, to $104,489,000 at June 30, 2026, compared to $94,830,000 at March 31, 2026, in anticipation of increased volume to fulfill backlog.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net revenues for the second quarter of 2026 were $143,352,000, an increase of $47,306,000, or 49.3%, as compared to $96,046,000 for the second quarter of 2025. Net revenues, by product line, for the three months ended June 30, 2026 and 2025 were as follows (dollars in thousands):</w:t>
      </w:r>
    </w:p>
    <w:p>
      <w:pPr>
        <w:pStyle w:val="TextBody"/>
        <w:bidi w:val="0"/>
        <w:spacing w:before="120" w:after="283"/>
        <w:jc w:val="left"/>
        <w:rPr/>
      </w:pPr>
      <w:r>
        <w:rPr/>
        <w:t> </w:t>
      </w:r>
    </w:p>
    <w:p>
      <w:pPr>
        <w:pStyle w:val="TextBody"/>
        <w:bidi w:val="0"/>
        <w:jc w:val="left"/>
        <w:rPr/>
      </w:pPr>
      <w:r>
        <w:rPr/>
        <w:t> </w:t>
      </w:r>
    </w:p>
    <w:tbl>
      <w:tblPr>
        <w:tblW w:w="8868" w:type="dxa"/>
        <w:jc w:val="left"/>
        <w:tblInd w:w="0" w:type="dxa"/>
        <w:tblLayout w:type="fixed"/>
        <w:tblCellMar>
          <w:top w:w="28" w:type="dxa"/>
          <w:left w:w="28" w:type="dxa"/>
          <w:bottom w:w="28" w:type="dxa"/>
          <w:right w:w="28" w:type="dxa"/>
        </w:tblCellMar>
      </w:tblPr>
      <w:tblGrid>
        <w:gridCol w:w="4006"/>
        <w:gridCol w:w="146"/>
        <w:gridCol w:w="211"/>
        <w:gridCol w:w="781"/>
        <w:gridCol w:w="146"/>
        <w:gridCol w:w="146"/>
        <w:gridCol w:w="146"/>
        <w:gridCol w:w="211"/>
        <w:gridCol w:w="676"/>
        <w:gridCol w:w="146"/>
        <w:gridCol w:w="146"/>
        <w:gridCol w:w="211"/>
        <w:gridCol w:w="676"/>
        <w:gridCol w:w="146"/>
        <w:gridCol w:w="146"/>
        <w:gridCol w:w="146"/>
        <w:gridCol w:w="466"/>
        <w:gridCol w:w="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Products including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Brick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net revenues for Advanced Products was primarily due to higher royalty revenue due to a new license agreement entered into during the quarter ended June 30, 2026 and volume increases due to improved market demand. The increase in net revenues for Brick Products was primarily due to improved market demand.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During the second quarter of 2025, the Company received a patent litigation settlement payment of $45,000,000 (as described in more detail in Note 11 to the Condensed Consolidated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Gross margin for the second quarter of 2026 decreased $9,008,000, or 9.8%, to $83,120,000, from $92,128,000 for the second quarter of 2025. Gross margin, as a percentage of net revenues and patent litigation settlement, decreased to 58.0% for the second quarter of 2026, compared to 65.3% for the second quarter of 2025. The decrease in gross margin dollars and gross margin percentage was primarily attributable to the $45,000,000 patent litigation settlement payment received by the Company in the second quarter of 2025 offset by the favorable impact from higher sales volume, including higher royalty revenue and the favorable impact of production efficiencies offset by unfavorable sales mix on the increased sales volume and increased freight-in and tariff spending of $1,328,000 (net of approximately $11,000 in duty drawback recovery in the second quarter of 2026 and $0 in duty drawback recovery in the second quarter of 2025 of previously paid tariffs).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Selling, general and administrative expenses were $27,601,000 for the second quarter of 2026, a decrease of $351,000, or 1.3%, from $27,952,000 for the second quarter of 2025. Selling, general and administrative expenses as a percentage of total net revenues and patent litigation settlement decreased to 19.3% for the second quarter of 2026 from 19.8% for the second quarter of 2025. The components of the $351,000 decrease in selling, general and administrative expenses for the second quarter of 2026 compared to the second quarter of 2025 were as follows (dollars in thousands):</w:t>
      </w:r>
    </w:p>
    <w:p>
      <w:pPr>
        <w:pStyle w:val="TextBody"/>
        <w:bidi w:val="0"/>
        <w:jc w:val="both"/>
        <w:rPr/>
      </w:pPr>
      <w:r>
        <w:rPr/>
        <w:t> </w:t>
      </w:r>
    </w:p>
    <w:tbl>
      <w:tblPr>
        <w:tblW w:w="5943" w:type="dxa"/>
        <w:jc w:val="left"/>
        <w:tblInd w:w="0" w:type="dxa"/>
        <w:tblLayout w:type="fixed"/>
        <w:tblCellMar>
          <w:top w:w="28" w:type="dxa"/>
          <w:left w:w="28" w:type="dxa"/>
          <w:bottom w:w="28" w:type="dxa"/>
          <w:right w:w="28" w:type="dxa"/>
        </w:tblCellMar>
      </w:tblPr>
      <w:tblGrid>
        <w:gridCol w:w="2761"/>
        <w:gridCol w:w="146"/>
        <w:gridCol w:w="211"/>
        <w:gridCol w:w="631"/>
        <w:gridCol w:w="166"/>
        <w:gridCol w:w="146"/>
        <w:gridCol w:w="146"/>
        <w:gridCol w:w="631"/>
        <w:gridCol w:w="331"/>
        <w:gridCol w:w="146"/>
        <w:gridCol w:w="146"/>
        <w:gridCol w:w="271"/>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 Increase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allocations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 primarily relates to $5,100,000 in legal fees associated with the patent litigation settlement in the second quarter of 2025 offset by an increase in legal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post-judgment interest and other costs relating to the litigation-contingency accrual with respect to our litigation with SynQor,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utilities and building maintenance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computer software services relating to new internal-use software implementation.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primarily attributable to an increase in the use of consultants.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primarily attributable to tax withholdings and employer taxes associated with an increase in stock option exercises, annual compensation adjustments in May 2026 and higher stock-based compensation expense associated with stock options awarded in May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$20,641,000 for the second quarter of 2026, an increase of $1,850,000, or 9.8%, compared to $18,791,000 for the second quarter of 2025. As a percentage of total net revenues and patent litigation settlement, research and development expenses increased to 14.4% for the second quarter of 2026 from 13.3% for the second quarter of 2025. The components of the $1,850,000 increase in research and development expenses for the second quarter of 2026 compared to the second quarter of 2025 were as follows (dollars in thousands):</w:t>
      </w:r>
    </w:p>
    <w:p>
      <w:pPr>
        <w:pStyle w:val="TextBody"/>
        <w:bidi w:val="0"/>
        <w:spacing w:before="240" w:after="283"/>
        <w:jc w:val="left"/>
        <w:rPr/>
      </w:pPr>
      <w:r>
        <w:rPr/>
        <w:t> </w:t>
      </w:r>
    </w:p>
    <w:tbl>
      <w:tblPr>
        <w:tblW w:w="6198" w:type="dxa"/>
        <w:jc w:val="left"/>
        <w:tblInd w:w="0" w:type="dxa"/>
        <w:tblLayout w:type="fixed"/>
        <w:tblCellMar>
          <w:top w:w="28" w:type="dxa"/>
          <w:left w:w="28" w:type="dxa"/>
          <w:bottom w:w="28" w:type="dxa"/>
          <w:right w:w="28" w:type="dxa"/>
        </w:tblCellMar>
      </w:tblPr>
      <w:tblGrid>
        <w:gridCol w:w="3076"/>
        <w:gridCol w:w="146"/>
        <w:gridCol w:w="211"/>
        <w:gridCol w:w="571"/>
        <w:gridCol w:w="166"/>
        <w:gridCol w:w="146"/>
        <w:gridCol w:w="146"/>
        <w:gridCol w:w="631"/>
        <w:gridCol w:w="331"/>
        <w:gridCol w:w="146"/>
        <w:gridCol w:w="146"/>
        <w:gridCol w:w="27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Waste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Overhead absorption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and pre-production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primarily attributable to tax withholdings and employer taxes associated with an increase in stock option exercises, annual compensation adjustments in May 2026 and higher stock-based compensation expense associated with stock options awarded in May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the consumption of materials and supplies used in the engineering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primarily attributable to an increase in waste disposal activities related to improving production process capabilities for our Advanced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primarily attributable to an increase in the use of outside service providers for our manufacturing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an increase in research and development personnel incurring time on production activities, compared to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decreased prototype development costs for Advanced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an increase in deferred costs capitalized for certain non-recurring engineering projects for which the related revenues had been deferred.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components of “Other income (expense), net” for the three months ended June 30, 2026 and 2025 and the changes between the periods were as follows (in thousands):</w:t>
      </w:r>
    </w:p>
    <w:p>
      <w:pPr>
        <w:pStyle w:val="TextBody"/>
        <w:bidi w:val="0"/>
        <w:jc w:val="left"/>
        <w:rPr/>
      </w:pPr>
      <w:r>
        <w:rPr/>
        <w:t> </w:t>
      </w:r>
    </w:p>
    <w:tbl>
      <w:tblPr>
        <w:tblW w:w="7001" w:type="dxa"/>
        <w:jc w:val="left"/>
        <w:tblInd w:w="0" w:type="dxa"/>
        <w:tblLayout w:type="fixed"/>
        <w:tblCellMar>
          <w:top w:w="28" w:type="dxa"/>
          <w:left w:w="28" w:type="dxa"/>
          <w:bottom w:w="28" w:type="dxa"/>
          <w:right w:w="28" w:type="dxa"/>
        </w:tblCellMar>
      </w:tblPr>
      <w:tblGrid>
        <w:gridCol w:w="2971"/>
        <w:gridCol w:w="146"/>
        <w:gridCol w:w="211"/>
        <w:gridCol w:w="571"/>
        <w:gridCol w:w="166"/>
        <w:gridCol w:w="146"/>
        <w:gridCol w:w="211"/>
        <w:gridCol w:w="571"/>
        <w:gridCol w:w="166"/>
        <w:gridCol w:w="146"/>
        <w:gridCol w:w="452"/>
        <w:gridCol w:w="1033"/>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(losses) gains,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exposure to market risk fluctuations in foreign currency exchange rates relates to the operations of Vicor Japan Company, Ltd. (“VJCL”), for which the functional currency is the Japanese Yen, and all other subsidiaries in Europe and Asia, for which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functional currency is the U.S. Dollar. These subsidiaries in Europe and Asia experienced unfavorable foreign currency exchange rate fluctuations in the second quarter of 2026 compared to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before income taxes was $38,923,000 for the second quarter of 2026, as compared to $49,042,000 for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(benefit) provision for income taxes and the effective income tax rates for the three months ended June 30, 2026 and 2025 were as follows (dollars in thousands): </w:t>
      </w:r>
    </w:p>
    <w:p>
      <w:pPr>
        <w:pStyle w:val="TextBody"/>
        <w:bidi w:val="0"/>
        <w:spacing w:before="240" w:after="283"/>
        <w:jc w:val="left"/>
        <w:rPr/>
      </w:pPr>
      <w:r>
        <w:rPr/>
        <w:t> </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3046"/>
        <w:gridCol w:w="146"/>
        <w:gridCol w:w="211"/>
        <w:gridCol w:w="736"/>
        <w:gridCol w:w="331"/>
        <w:gridCol w:w="146"/>
        <w:gridCol w:w="211"/>
        <w:gridCol w:w="571"/>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effective tax rates differ from the statutory tax rates for the three months ended June 30, 2026 primarily due to excess deductions related to share-based compensation, and for the three months ended June 30, 2025 primarily due to the Company’s full valuation allowance position against domestic deferred tax assets as of June 30, 2025. The (benefit) provision for income taxes for the three months ended June 30, 2026 and 2025 included estimated federal, state and foreign income taxes in jurisdictions in which the Company does not have sufficient tax attributes.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released its valuation allowance on the majority of its deferred tax assets as of December 31, 2025. The Company maintained a valuation allowance of $17,500,000 related primarily to state tax attributes as of June 30, 2026. On a periodic basis, the Company reassesses any valuation allowances that it maintains on its deferred tax assets, weighing positive and negative evidence to assess the recoverability of the deferred tax assets.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reported net income for the second quarter of 2026 of $49,772,000, or $1.04 per diluted share, compared to net income of $41,192,000, or $0.91 per diluted share, for the second quarter of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Net revenues for the six months ended June 30, 2026 were $256,321,000, an increase of $66,307,000, or 34.9%, from $190,014,000 for the six months ended June 30, 2025. Net revenues, by product line, for the six months ended June 30, 2026 and the six months ended June 30, 2025 were as follows (dollars in thousands): </w:t>
      </w:r>
    </w:p>
    <w:tbl>
      <w:tblPr>
        <w:tblW w:w="8827" w:type="dxa"/>
        <w:jc w:val="left"/>
        <w:tblInd w:w="0" w:type="dxa"/>
        <w:tblLayout w:type="fixed"/>
        <w:tblCellMar>
          <w:top w:w="28" w:type="dxa"/>
          <w:left w:w="28" w:type="dxa"/>
          <w:bottom w:w="28" w:type="dxa"/>
          <w:right w:w="28" w:type="dxa"/>
        </w:tblCellMar>
      </w:tblPr>
      <w:tblGrid>
        <w:gridCol w:w="4006"/>
        <w:gridCol w:w="146"/>
        <w:gridCol w:w="211"/>
        <w:gridCol w:w="781"/>
        <w:gridCol w:w="146"/>
        <w:gridCol w:w="146"/>
        <w:gridCol w:w="211"/>
        <w:gridCol w:w="781"/>
        <w:gridCol w:w="146"/>
        <w:gridCol w:w="146"/>
        <w:gridCol w:w="211"/>
        <w:gridCol w:w="676"/>
        <w:gridCol w:w="146"/>
        <w:gridCol w:w="146"/>
        <w:gridCol w:w="146"/>
        <w:gridCol w:w="466"/>
        <w:gridCol w:w="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Products including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Brick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net revenues for Advanced Products was primarily due to higher royalty revenue due to a new license agreement entered into during the quarter ended June 30, 2026 and volume increases due to improved market demand. The increase in net revenues for Brick Products was primarily due to improved market demand.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During the six months ended June 30, 2025, the Company received a patent litigation settlement payment of $45,000,000 (as described in more detail in Note 11 to the Condensed Consolidated Financial Statements).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Gross margin for the six months ended June 30, 2026 increased $8,993,000, or 6.6%, to $145,486,000, from $136,493,000 for the six months ended June 30, 2025. Gross margin, as a percentage of net revenues and patent litigation settlement, decreased to 56.8% for the six months ended June 30, 2026, as compared to 58.1% for the six months ended June 30, 2025. The increase in gross margin dollars and the decrease in gross margin percentage was primarily attributable to the $45,000,000 patent litigation settlement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payment received by the Company in the second quarter of 2025 offset by the favorable impact from higher sales volume and improved sales mix on that revenue, including higher royalty revenue, and the favorable impact of production efficiencies offset by increased freight-in and tariff spending of $3,554,000 (net of approximately $204,000 in duty drawback recovery in the six months ended June 30, 2026 and $0 in duty drawback recovery in the six months ended June 30, 2025 of previously paid tariffs).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Selling, general and administrative expenses were $50,793,000 for the six months ended June 30, 2026, a decrease of $2,296,000, or 4.3%, compared to $53,089,000 for the six months ended June 30, 2025. Selling, general and administrative expenses as a percentage of total net revenues and patent litigation settlement, decreased to 19.8% for the six months ended June 30, 2026 from 22.6% for the six months ended June 30, 2025. The components of the $2,296,000 decrease in selling, general and administrative expenses for the six months ended June 30, 2026 compared to the six months ended June 30, 2025 were as follows (dollars in thousands): </w:t>
      </w:r>
    </w:p>
    <w:tbl>
      <w:tblPr>
        <w:tblW w:w="5838" w:type="dxa"/>
        <w:jc w:val="left"/>
        <w:tblInd w:w="0" w:type="dxa"/>
        <w:tblLayout w:type="fixed"/>
        <w:tblCellMar>
          <w:top w:w="28" w:type="dxa"/>
          <w:left w:w="28" w:type="dxa"/>
          <w:bottom w:w="28" w:type="dxa"/>
          <w:right w:w="28" w:type="dxa"/>
        </w:tblCellMar>
      </w:tblPr>
      <w:tblGrid>
        <w:gridCol w:w="2761"/>
        <w:gridCol w:w="146"/>
        <w:gridCol w:w="211"/>
        <w:gridCol w:w="631"/>
        <w:gridCol w:w="166"/>
        <w:gridCol w:w="146"/>
        <w:gridCol w:w="146"/>
        <w:gridCol w:w="526"/>
        <w:gridCol w:w="331"/>
        <w:gridCol w:w="146"/>
        <w:gridCol w:w="146"/>
        <w:gridCol w:w="271"/>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 Increase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allocations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 primarily relates to $5,100,000 in legal fees associated with the patent litigation settlement in the second quarter of 2025 offset by an increase in legal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computer software services relating to new internal-use software implementation.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post-judgment interest and other costs relating to the litigation-contingency accrual with respect to our litigation with SynQor,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utilities and building maintenance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primarily attributable to tax withholdings and employer taxes associated with an increase in stock option exercises and annual compensation adjustments in May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were $42,931,000 for the six months ended June 30, 2026, an increase of $4,763,000, or 12.5%, from $38,168,000 for the six months ended June 30, 2025. As a percentage of total net revenues and patent litigation settlement, research and development expenses increased to 16.7% for the six months ended June 30, 2026 from 16.2% for the six months ended June 30, 2025. The components of the $4,763,000 increase in research and development expenses for the six months ended June 30, 2026 compared to the six months ended June 30, 2025 were as follows (dollars in thousands): </w:t>
      </w:r>
    </w:p>
    <w:p>
      <w:pPr>
        <w:pStyle w:val="TextBody"/>
        <w:bidi w:val="0"/>
        <w:spacing w:before="240" w:after="283"/>
        <w:jc w:val="left"/>
        <w:rPr/>
      </w:pPr>
      <w:r>
        <w:rPr/>
        <w:t> </w:t>
      </w:r>
    </w:p>
    <w:tbl>
      <w:tblPr>
        <w:tblW w:w="6198" w:type="dxa"/>
        <w:jc w:val="left"/>
        <w:tblInd w:w="0" w:type="dxa"/>
        <w:tblLayout w:type="fixed"/>
        <w:tblCellMar>
          <w:top w:w="28" w:type="dxa"/>
          <w:left w:w="28" w:type="dxa"/>
          <w:bottom w:w="28" w:type="dxa"/>
          <w:right w:w="28" w:type="dxa"/>
        </w:tblCellMar>
      </w:tblPr>
      <w:tblGrid>
        <w:gridCol w:w="3076"/>
        <w:gridCol w:w="146"/>
        <w:gridCol w:w="211"/>
        <w:gridCol w:w="571"/>
        <w:gridCol w:w="166"/>
        <w:gridCol w:w="146"/>
        <w:gridCol w:w="146"/>
        <w:gridCol w:w="631"/>
        <w:gridCol w:w="331"/>
        <w:gridCol w:w="146"/>
        <w:gridCol w:w="146"/>
        <w:gridCol w:w="27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and pre-production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set-up and calibration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primarily attributable to tax withholdings and employer taxes associated with an increase in stock option exercises and annual compensation adjustments in May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primarily attributable to increased prototype development costs for Advanced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primarily attributable to an increase in the use of outside service providers for our manufacturing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the consumption of materials and supplies used in the engineering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 decrease in equipment set-up and calibration for Advanced Products production.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primarily attributable to an increase in deferred costs capitalized for certain non-recurring engineering projects for which the related revenues had been deferred.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significant components of “Other income (expense), net” for the six months ended June 30, 2026 and the six months ended June 30, 2025 and the changes from period to period were as follows (in thousands): </w:t>
      </w:r>
    </w:p>
    <w:p>
      <w:pPr>
        <w:pStyle w:val="TextBody"/>
        <w:bidi w:val="0"/>
        <w:spacing w:before="240" w:after="283"/>
        <w:jc w:val="left"/>
        <w:rPr/>
      </w:pPr>
      <w:r>
        <w:rPr/>
        <w:t> </w:t>
      </w:r>
    </w:p>
    <w:tbl>
      <w:tblPr>
        <w:tblW w:w="6981" w:type="dxa"/>
        <w:jc w:val="left"/>
        <w:tblInd w:w="0" w:type="dxa"/>
        <w:tblLayout w:type="fixed"/>
        <w:tblCellMar>
          <w:top w:w="28" w:type="dxa"/>
          <w:left w:w="28" w:type="dxa"/>
          <w:bottom w:w="28" w:type="dxa"/>
          <w:right w:w="28" w:type="dxa"/>
        </w:tblCellMar>
      </w:tblPr>
      <w:tblGrid>
        <w:gridCol w:w="2971"/>
        <w:gridCol w:w="146"/>
        <w:gridCol w:w="211"/>
        <w:gridCol w:w="571"/>
        <w:gridCol w:w="166"/>
        <w:gridCol w:w="146"/>
        <w:gridCol w:w="211"/>
        <w:gridCol w:w="571"/>
        <w:gridCol w:w="146"/>
        <w:gridCol w:w="146"/>
        <w:gridCol w:w="452"/>
        <w:gridCol w:w="1033"/>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(losses) gains,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exposure to market risk fluctuations in foreign currency exchange rates relates to the operations of VJCL, for which the functional currency is the Japanese Yen, and all other subsidiaries in Europe and Asia, for which the functional currency is the U.S. Dollar. These subsidiaries in Europe and Asia experienced unfavorable foreign currency exchange rate fluctuations in the six months ended June 30, 2026 compared to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Income before income taxes was $59,326,000 for the six months ended June 30, 2026, as compared to $52,027,000 for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(benefit) provision for income taxes and the effective income tax rates for the six months ended June 30, 2026 and 2025 were as follows (dollars in thousands): </w:t>
      </w:r>
    </w:p>
    <w:p>
      <w:pPr>
        <w:pStyle w:val="TextBody"/>
        <w:bidi w:val="0"/>
        <w:spacing w:before="240" w:after="283"/>
        <w:jc w:val="left"/>
        <w:rPr/>
      </w:pPr>
      <w:r>
        <w:rPr/>
        <w:t> </w:t>
      </w:r>
    </w:p>
    <w:tbl>
      <w:tblPr>
        <w:tblW w:w="5714" w:type="dxa"/>
        <w:jc w:val="left"/>
        <w:tblInd w:w="0" w:type="dxa"/>
        <w:tblLayout w:type="fixed"/>
        <w:tblCellMar>
          <w:top w:w="28" w:type="dxa"/>
          <w:left w:w="28" w:type="dxa"/>
          <w:bottom w:w="28" w:type="dxa"/>
          <w:right w:w="28" w:type="dxa"/>
        </w:tblCellMar>
      </w:tblPr>
      <w:tblGrid>
        <w:gridCol w:w="3046"/>
        <w:gridCol w:w="146"/>
        <w:gridCol w:w="211"/>
        <w:gridCol w:w="736"/>
        <w:gridCol w:w="331"/>
        <w:gridCol w:w="146"/>
        <w:gridCol w:w="211"/>
        <w:gridCol w:w="571"/>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effective tax rates differ from the statutory tax rates for the six months ended June 30, 2026 primarily due to excess deductions related to share-based compensation, and for the six months ended June 30, 2025 primarily due to the Company’s full valuation allowance position against domestic deferred tax assets as of June 30, 2025. The (benefit) provision for income taxes for the six months ended June 30, 2026 and 2025 included estimated federal, state and foreign income taxes in jurisdictions in which the Company does not have sufficient tax attributes.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released its valuation allowance on the majority of its deferred tax assets as of December 31, 2025. The Company maintained a valuation allowance of $17,500,000 related primarily to state tax attributes as of June 30, 2026. On a periodic basis,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Company reassesses any valuation allowances that it maintains on its deferred tax assets, weighing positive and negative evidence to assess the recoverability of the deferred tax assets.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reported net income for the six months ended June 30, 2026 of $70,436,000, or $1.48 per diluted share, as compared to net income of $43,731,000, or $0.97 per diluted share, for the six months ended June 30, 2025.</w:t>
      </w:r>
    </w:p>
    <w:p>
      <w:pPr>
        <w:pStyle w:val="Heading1"/>
        <w:bidi w:val="0"/>
        <w:spacing w:before="160" w:after="283"/>
        <w:jc w:val="left"/>
        <w:rPr>
          <w:rFonts w:ascii="Times New Roman" w:hAnsi="Times New Roman"/>
          <w:b w:val="false"/>
          <w:color w:val="000000"/>
          <w:sz w:val="20"/>
          <w:u w:val="single"/>
        </w:rPr>
      </w:pPr>
      <w:r>
        <w:rPr>
          <w:rFonts w:ascii="Times New Roman" w:hAnsi="Times New Roman"/>
          <w:b w:val="false"/>
          <w:color w:val="000000"/>
          <w:sz w:val="20"/>
          <w:u w:val="single"/>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$453,582,000 in cash and cash equivalents. The ratio of total current assets to total current liabilities was 13.2:1 as of June 30, 2026 and 9.0:1 as of December 31, 2025. Working capital, defined as total current assets less total current liabilities, increased $97,709,000 to $619,751,000 as of June 30, 2026 from $522,042,000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working capital from December 31, 2025 to June 30, 2026 were as follows (in thousands):</w:t>
      </w:r>
    </w:p>
    <w:p>
      <w:pPr>
        <w:pStyle w:val="TextBody"/>
        <w:bidi w:val="0"/>
        <w:jc w:val="left"/>
        <w:rPr/>
      </w:pPr>
      <w:r>
        <w:rPr/>
        <w:t> </w:t>
      </w:r>
    </w:p>
    <w:tbl>
      <w:tblPr>
        <w:tblW w:w="4260" w:type="dxa"/>
        <w:jc w:val="left"/>
        <w:tblInd w:w="0" w:type="dxa"/>
        <w:tblLayout w:type="fixed"/>
        <w:tblCellMar>
          <w:top w:w="28" w:type="dxa"/>
          <w:left w:w="28" w:type="dxa"/>
          <w:bottom w:w="28" w:type="dxa"/>
          <w:right w:w="28" w:type="dxa"/>
        </w:tblCellMar>
      </w:tblPr>
      <w:tblGrid>
        <w:gridCol w:w="3016"/>
        <w:gridCol w:w="146"/>
        <w:gridCol w:w="211"/>
        <w:gridCol w:w="67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litigation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primary sources of cash for the six months ended June 30, 2026 were $44,224,000 received in connection with the exercise of options to purchase our Common Stock awarded under our stock option plans and the issuance of Common Stock under our 2017 Employee Stock Purchase Plan and $30,197,000 generated from operations, which is net of a payment made to SynQor, Inc. in the amount of $28,557,000. See Note 11 for additional information regarding the payment made to SynQor. The primary use of cash during the six months ended June 30, 2026 was for the purchase of equipment of $23,560,000.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our Board of Directors authorized the repurchase of up to $100,000,000 of our Common Stock (the “Repurchase Authorization”). As of June 30, 2026, we had approximately $64,327,000 remaining available for repurchases of our Common Stock under the Repurchase Authorization.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amounts of Common Stock repurchases under the Repurchase Authorization are at the discretion of the Company’s President and Chief Executive Officer based upon economic and financial market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a total of approximately $22,745,000 of cancelable and non-cancelable capital expenditure commitments, principally for manufacturing and production equipment, which we intend to fund with existing cash, and approximately $2,155,000 of capital expenditure items and internal-use software which had been received and included in Property, plant and equipment, net in the accompanying Condensed Consolidated Balance Sheets, but not yet paid for. Our primary needs for liquidity are for making continuing investments in manufacturing and production equipment. We believe cash generated from operations together with our available cash and cash equivalents will be sufficient to fund planned operational needs and capital equipment purchases, for both the short and long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consider the impact of inflation or fluctuations in the exchange rates for foreign currency transactions to have been significant during the last three fiscal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in our judgments and assumptions associated with the development of our critical accounting estimates during the period ended June 30, 2026. Refer to the section entitled “Critical Accounting Policies and Estimates” in Part II, Item 7 – “Management’s Discussion and Analysis of Financial Condition and Results of Operations” of the Company’s Annual Report on Form 10-K for the year ended December 31, 2025. </w:t>
      </w:r>
    </w:p>
    <w:p>
      <w:pPr>
        <w:pStyle w:val="TextBody"/>
        <w:bidi w:val="0"/>
        <w:spacing w:before="240" w:after="200"/>
        <w:jc w:val="left"/>
        <w:rPr>
          <w:rFonts w:ascii="Times New Roman" w:hAnsi="Times New Roman"/>
          <w:sz w:val="20"/>
        </w:rPr>
      </w:pPr>
      <w:r>
        <w:rPr>
          <w:rFonts w:ascii="Times New Roman" w:hAnsi="Times New Roman"/>
          <w:color w:val="000000"/>
          <w:sz w:val="20"/>
        </w:rPr>
        <w:t xml:space="preserve">The Company licenses its intellectual property under right to use licenses, in which royalties due to the Company are generally based upon a percentage of the licensee’s sales. For these licensing transactions, the Company utilizes the exception under the revenue recognition guidance for the recognition of sales- or usage-based royalties, in which the royalties are not recognized until the later of when 1) the customer’s subsequent sales or usages occur, or 2) the performance obligation to which some or all of the sales- or usage-based royalty has been allocated is satisfied or partially satisfied. In certain right to use licenses where payment is not based on sales-or-usage-based royalties, the Company estimates consideration it expects to be entitled to considering minimum expected payments and potential price concessions. Revenue for these licenses is recognized in an amount that is probable that a significant reversal in the cumulative amount of revenue recognized would not occur. In certain right-to-use license arrangements, the Company recognizes revenue upon receipt of payment, consistent with the alternative revenue recognition model prescribed by Accounting Standards Codification 606, </w:t>
      </w:r>
      <w:r>
        <w:rPr>
          <w:rFonts w:ascii="Times New Roman" w:hAnsi="Times New Roman"/>
          <w:i/>
          <w:color w:val="000000"/>
          <w:sz w:val="20"/>
        </w:rPr>
        <w:t>Revenue from Contracts and Customers</w:t>
      </w:r>
      <w:r>
        <w:rPr>
          <w:rFonts w:ascii="Times New Roman" w:hAnsi="Times New Roman"/>
          <w:color w:val="000000"/>
          <w:sz w:val="20"/>
        </w:rPr>
        <w:t xml:space="preserve">. This policy is re-evaluated periodically based on the facts and circumstances of each licensee. </w:t>
      </w:r>
    </w:p>
    <w:p>
      <w:pPr>
        <w:pStyle w:val="TextBody"/>
        <w:bidi w:val="0"/>
        <w:spacing w:before="0" w:after="20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360" w:after="283"/>
        <w:jc w:val="both"/>
        <w:rPr>
          <w:rFonts w:ascii="Times New Roman" w:hAnsi="Times New Roman"/>
          <w:sz w:val="20"/>
        </w:rPr>
      </w:pPr>
      <w:bookmarkStart w:id="14" w:name="item_3"/>
      <w:bookmarkEnd w:id="14"/>
      <w:r>
        <w:rPr>
          <w:rFonts w:ascii="Times New Roman" w:hAnsi="Times New Roman"/>
          <w:color w:val="000000"/>
          <w:sz w:val="20"/>
          <w:u w:val="single"/>
        </w:rPr>
        <w:t>Item 3 —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a variety of market risks in the ordinary course of our business, including changes in interest rates affecting the return on our cash and cash equivalents, our short-term investments and fluctuations in foreign currency exchange rates. As our cash and cash equivalents and short-term investments consist principally of cash accounts, money market securities, and U.S. Treasury securities, which are short-term in nature, we believe our exposure to market risk on interest rate fluctuations for these investments is not significant. As of June 30, 2026, our long-term investment portfolio, recorded on our Condensed Consolidated Balance Sheet as “Long-term investment, net”, consisted of a single auction rate security with a par value of $3,000,000, purchased through and held in custody by a broker-dealer affiliate of Bank of America, N.A., that has experienced failed auctions (the “Failed Auction Security”) since February 2008. While the Failed Auction Security is Aaa/AA+ rated by major credit rating agencies, collateralized by student loans and guaranteed by the U.S. Department of Education under the Federal Family Education Loan Program, continued failure to sell at its periodic auction dates (i.e., reset dates) could negatively impact the carrying value of the investment, in turn leading to impairment charges in future periods. Periodic changes in the fair value of the Failed Auction Security attributable to credit loss (i.e., risk of the issuer’s default) are recorded through earnings as a component of “Other income (expense), net”, with the remainder of any periodic change in fair value not related to credit loss (i.e., temporary “mark-to-market” carrying value adjustments) recorded in “Accumulated other comprehensive income (loss)”, a component of Stockholders’ Equity. Should we conclude a decline in the fair value of the Failed Auction Security is other than temporary, such losses would be recorded through earnings as a component of “Other income (expense), net”. We do not believe there was an “other-than-temporary” decline in value of this security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exposure to market risk for fluctuations in foreign currency exchange rates relates to the operations of VJCL, for which the functional currency is the Japanese Yen, and changes in the relative value of the Yen to the U.S. Dollar. The functional currency of all other subsidiaries in Europe and Asia is the U.S. Dollar. While we believe the risk of fluctuations in foreign currency exchange rates for these subsidiaries is generally not significant, they can be subject to substantial currency changes, and therefore foreign exchange exposures. These gains or losses are recorded in “Accumulated other comprehensive income (loss)”, a component of Stockholders' Equity.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360" w:after="283"/>
        <w:jc w:val="left"/>
        <w:rPr>
          <w:rFonts w:ascii="Times New Roman" w:hAnsi="Times New Roman"/>
          <w:sz w:val="20"/>
        </w:rPr>
      </w:pPr>
      <w:bookmarkStart w:id="15" w:name="item_4"/>
      <w:bookmarkEnd w:id="15"/>
      <w:r>
        <w:rPr>
          <w:rFonts w:ascii="Times New Roman" w:hAnsi="Times New Roman"/>
          <w:color w:val="000000"/>
          <w:sz w:val="20"/>
          <w:u w:val="single"/>
        </w:rPr>
        <w:t>Item 4 —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Disclosure regarding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 under the Securities Exchange Act of 1934, as amended (the “Exchange Act”), management, with the participation of our Chief Executive Officer (“CEO”) (who is our principal executive officer) and Chief Financial Officer (“CFO”) (who is our principal financial officer), conducted an evaluation of the effectiveness of our disclosure controls and procedures as of June 30, 2026. The term “disclosure controls and procedures,” as defined in Rules 13a-15(e) and 15d-15(e) under the Exchange Act, means controls and other procedures of a company that are designed to ensure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information required to be disclosed by a company in the reports it files or submits under the Exchange Act is accumulated and communicated to the company's management, including its principal executive and principal financial officers, as appropriate to allow timely decisions regarding required disclosure. Management recognizes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CEO and CFO concluded, as of such date, our disclosure controls and procedures were effective at the reasonable assurance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control system, no matter how well designed and operated, can provide only reasonable, not absolute, assurance that the control system’s objectives will be met. Accordingly, management, including the CEO and CFO, recognizes our disclosure controls or our internal control over financial reporting may not prevent or detect all errors and all fraud. The design of a control system must reflect the fact there are resource constraints, and the benefits of controls must be considered relative to their costs. Further, because of the inherent limitations in all control systems, no evaluation of controls can provide absolute assurance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control’s effectiveness to future periods are subject to risks. Over time, controls may become inadequate because of changes in conditions or deterioration in the degree of compliance with policies or procedures.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Changes in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that occurred during the fiscal quarter ended June 30, 2026, that has materially affected, or is reasonably likely to materially affect, our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Vicor Corporation</w:t>
      </w:r>
    </w:p>
    <w:p>
      <w:pPr>
        <w:pStyle w:val="TextBody"/>
        <w:bidi w:val="0"/>
        <w:jc w:val="center"/>
        <w:rPr>
          <w:rFonts w:ascii="Times New Roman" w:hAnsi="Times New Roman"/>
          <w:color w:val="000000"/>
          <w:sz w:val="20"/>
        </w:rPr>
      </w:pPr>
      <w:bookmarkStart w:id="16" w:name="part_ii"/>
      <w:bookmarkEnd w:id="16"/>
      <w:r>
        <w:rPr>
          <w:rFonts w:ascii="Times New Roman" w:hAnsi="Times New Roman"/>
          <w:color w:val="000000"/>
          <w:sz w:val="20"/>
        </w:rPr>
        <w:t>Part II – Other Information</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pPr>
      <w:r>
        <w:rPr/>
        <w:t> </w:t>
      </w:r>
    </w:p>
    <w:p>
      <w:pPr>
        <w:pStyle w:val="TextBody"/>
        <w:bidi w:val="0"/>
        <w:spacing w:before="120" w:after="283"/>
        <w:jc w:val="left"/>
        <w:rPr>
          <w:rFonts w:ascii="Times New Roman" w:hAnsi="Times New Roman"/>
          <w:sz w:val="20"/>
        </w:rPr>
      </w:pPr>
      <w:bookmarkStart w:id="17" w:name="item_1_part_ii"/>
      <w:bookmarkEnd w:id="17"/>
      <w:r>
        <w:rPr>
          <w:rFonts w:ascii="Times New Roman" w:hAnsi="Times New Roman"/>
          <w:color w:val="000000"/>
          <w:sz w:val="20"/>
          <w:u w:val="single"/>
        </w:rPr>
        <w:t>Item 1 —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involved in various claims and legal proceedings of a nature considered ordinary course in our business, including those described under Note 11. </w:t>
      </w:r>
      <w:r>
        <w:rPr>
          <w:rFonts w:ascii="Times New Roman" w:hAnsi="Times New Roman"/>
          <w:color w:val="000000"/>
          <w:sz w:val="20"/>
          <w:u w:val="single"/>
        </w:rPr>
        <w:t>Commitments and Contingencies</w:t>
      </w:r>
      <w:r>
        <w:rPr>
          <w:rFonts w:ascii="Times New Roman" w:hAnsi="Times New Roman"/>
          <w:color w:val="000000"/>
          <w:sz w:val="20"/>
        </w:rPr>
        <w:t xml:space="preserve"> in the Notes to Condensed Consolidated Financial Statements in Part I, Item 1 – “Financial Statements.”</w:t>
      </w:r>
    </w:p>
    <w:p>
      <w:pPr>
        <w:pStyle w:val="TextBody"/>
        <w:bidi w:val="0"/>
        <w:spacing w:before="360" w:after="283"/>
        <w:jc w:val="left"/>
        <w:rPr>
          <w:rFonts w:ascii="Times New Roman" w:hAnsi="Times New Roman"/>
          <w:sz w:val="20"/>
        </w:rPr>
      </w:pPr>
      <w:bookmarkStart w:id="18" w:name="item_1a_part_ii"/>
      <w:bookmarkEnd w:id="18"/>
      <w:r>
        <w:rPr>
          <w:rFonts w:ascii="Times New Roman" w:hAnsi="Times New Roman"/>
          <w:color w:val="000000"/>
          <w:sz w:val="20"/>
          <w:u w:val="single"/>
        </w:rPr>
        <w:t>Item 1A —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risk factors and uncertainties related to our business described in Part I, Item 1A – “Risk Factors” of the Company’s Annual Report on Form 10-K for the year ended December 31, 2025.</w:t>
      </w:r>
    </w:p>
    <w:p>
      <w:pPr>
        <w:pStyle w:val="TextBody"/>
        <w:bidi w:val="0"/>
        <w:spacing w:before="360" w:after="283"/>
        <w:jc w:val="left"/>
        <w:rPr>
          <w:rFonts w:ascii="Times New Roman" w:hAnsi="Times New Roman"/>
          <w:color w:val="000000"/>
          <w:sz w:val="20"/>
          <w:u w:val="single"/>
        </w:rPr>
      </w:pPr>
      <w:bookmarkStart w:id="19" w:name="item_2"/>
      <w:bookmarkEnd w:id="19"/>
      <w:r>
        <w:rPr>
          <w:rFonts w:ascii="Times New Roman" w:hAnsi="Times New Roman"/>
          <w:color w:val="000000"/>
          <w:sz w:val="20"/>
          <w:u w:val="single"/>
        </w:rPr>
        <w:t>Item 2 — Unregistered Sales of Equity Securities and Use of Proceeds</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Issuer Purchases of Equity Securities</w:t>
      </w:r>
    </w:p>
    <w:p>
      <w:pPr>
        <w:pStyle w:val="TextBody"/>
        <w:bidi w:val="0"/>
        <w:jc w:val="center"/>
        <w:rPr/>
      </w:pPr>
      <w:r>
        <w:rPr/>
        <w:t> </w:t>
      </w:r>
    </w:p>
    <w:tbl>
      <w:tblPr>
        <w:tblW w:w="9209" w:type="dxa"/>
        <w:jc w:val="left"/>
        <w:tblInd w:w="0" w:type="dxa"/>
        <w:tblLayout w:type="fixed"/>
        <w:tblCellMar>
          <w:top w:w="28" w:type="dxa"/>
          <w:left w:w="28" w:type="dxa"/>
          <w:bottom w:w="28" w:type="dxa"/>
          <w:right w:w="28" w:type="dxa"/>
        </w:tblCellMar>
      </w:tblPr>
      <w:tblGrid>
        <w:gridCol w:w="1921"/>
        <w:gridCol w:w="146"/>
        <w:gridCol w:w="298"/>
        <w:gridCol w:w="707"/>
        <w:gridCol w:w="146"/>
        <w:gridCol w:w="146"/>
        <w:gridCol w:w="515"/>
        <w:gridCol w:w="850"/>
        <w:gridCol w:w="146"/>
        <w:gridCol w:w="146"/>
        <w:gridCol w:w="532"/>
        <w:gridCol w:w="1268"/>
        <w:gridCol w:w="146"/>
        <w:gridCol w:w="146"/>
        <w:gridCol w:w="322"/>
        <w:gridCol w:w="1583"/>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Second Quarter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Number of</w:t>
              <w:br/>
              <w:t>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w:t>
              <w:br/>
              <w:t>Shares Purchased</w:t>
              <w:br/>
              <w:t xml:space="preserve">as Part of </w:t>
              <w:br/>
              <w:t>Publicly Announced</w:t>
              <w:b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Approximate Dollar</w:t>
              <w:br/>
              <w:t>Value of Shares</w:t>
              <w:br/>
              <w:t xml:space="preserve">That May Yet Be </w:t>
              <w:br/>
              <w:t xml:space="preserve">Purchased Under the </w:t>
              <w:br/>
              <w:t>Plans 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64,327,067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64,327,067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64,327,067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64,327,067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our Board of Directors authorized the repurchase of up to $100,000,000 of our Common Stock (the “Repurchase Authorization”). The timing and amounts of Common Stock repurchases pursuant to the Repurchase Authorization are at the discretion of the Company’s President and Chief Executive Officer based upon economic and financial market conditions. The Repurchase Authorization does not expire. </w:t>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bookmarkStart w:id="20" w:name="item_5_other_information"/>
      <w:bookmarkEnd w:id="20"/>
      <w:r>
        <w:rPr>
          <w:rFonts w:ascii="Times New Roman" w:hAnsi="Times New Roman"/>
          <w:color w:val="000000"/>
          <w:sz w:val="20"/>
          <w:u w:val="single"/>
        </w:rPr>
        <w:t>Item 5 —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set forth below, during the three months ended June 30, 2026, no director or Section 16 officer of the Company adopted, modified or terminated a “Rule 10b5-1 trading arrangement” or “non-Rule 10b5-1 trading arrangement,” as each term is defined in Item 408(a) of Regulation 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8, 2026, Patrizio Vinciarelli, Chairman of the Board, President and Chief Executive Officer of the Company, adopted a Rule 10b5-1 trading arrangement providing for the sale, pursuant to the terms of the arrangement, of an aggregate of up to 1,000,000 shares of the Company’s common stock in tranches of 10,000 shares at $4 price increments ranging from $404 to $800 per share. The number of shares that can be sold on any one trading day is capped at 20,000. Mr. Vinciarelli’s trading arrangement is intended to satisfy the affirmative defense in Rule 10b5-1(c). The duration of Mr. Vinciarelli’s trading arrangement is estimated to be from September 7, 2026 until December 31, 2028.</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t> </w:t>
      </w:r>
    </w:p>
    <w:p>
      <w:pPr>
        <w:pStyle w:val="TextBody"/>
        <w:bidi w:val="0"/>
        <w:spacing w:before="360" w:after="283"/>
        <w:jc w:val="both"/>
        <w:rPr/>
      </w:pPr>
      <w:r>
        <w:rPr/>
        <w:t> </w:t>
      </w:r>
    </w:p>
    <w:p>
      <w:pPr>
        <w:pStyle w:val="TextBody"/>
        <w:bidi w:val="0"/>
        <w:spacing w:before="360" w:after="283"/>
        <w:jc w:val="both"/>
        <w:rPr/>
      </w:pPr>
      <w:r>
        <w:rPr/>
        <w:t> </w:t>
      </w:r>
    </w:p>
    <w:p>
      <w:pPr>
        <w:pStyle w:val="TextBody"/>
        <w:bidi w:val="0"/>
        <w:spacing w:before="360" w:after="283"/>
        <w:jc w:val="both"/>
        <w:rPr/>
      </w:pPr>
      <w:r>
        <w:rPr/>
        <w:t> </w:t>
      </w:r>
    </w:p>
    <w:p>
      <w:pPr>
        <w:pStyle w:val="TextBody"/>
        <w:bidi w:val="0"/>
        <w:spacing w:before="360" w:after="283"/>
        <w:jc w:val="both"/>
        <w:rPr>
          <w:rFonts w:ascii="Times New Roman" w:hAnsi="Times New Roman"/>
          <w:sz w:val="20"/>
        </w:rPr>
      </w:pPr>
      <w:bookmarkStart w:id="21" w:name="item_6"/>
      <w:bookmarkEnd w:id="21"/>
      <w:r>
        <w:rPr>
          <w:rFonts w:ascii="Times New Roman" w:hAnsi="Times New Roman"/>
          <w:color w:val="000000"/>
          <w:sz w:val="20"/>
          <w:u w:val="single"/>
        </w:rPr>
        <w:t>Item 6 — Exhibits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
        <w:gridCol w:w="146"/>
        <w:gridCol w:w="9039"/>
      </w:tblGrid>
      <w:tr>
        <w:trPr/>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9" w:type="dxa"/>
            <w:tcBorders/>
            <w:vAlign w:val="center"/>
          </w:tcPr>
          <w:p>
            <w:pPr>
              <w:pStyle w:val="TableContents"/>
              <w:bidi w:val="0"/>
              <w:spacing w:before="0" w:after="283"/>
              <w:jc w:val="left"/>
              <w:rPr>
                <w:sz w:val="4"/>
                <w:szCs w:val="4"/>
              </w:rPr>
            </w:pPr>
            <w:r>
              <w:rPr>
                <w:sz w:val="4"/>
                <w:szCs w:val="4"/>
              </w:rPr>
            </w:r>
          </w:p>
        </w:tc>
      </w:tr>
      <w:tr>
        <w:trPr/>
        <w:tc>
          <w:tcPr>
            <w:tcW w:w="102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Description</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dated February 28, 1990 (1)</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Ownership and Merger Merging Westcor Corporation, a Delaware Corporation, into Vicor Corporation, a Delaware corporation, dated December 3, 1990 (1)</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Restated Certificate of Incorporation, dated May 10, 1991 (1)</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Restated Certificate of Incorporation, dated June 23, 1992 (1)</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Bylaws, as amended (2)</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w:anchor="vicr-ex31_1.htm">
              <w:r>
                <w:rPr>
                  <w:rStyle w:val="InternetLink"/>
                  <w:rFonts w:ascii="Times New Roman" w:hAnsi="Times New Roman"/>
                  <w:color w:val="0000FF"/>
                  <w:sz w:val="20"/>
                  <w:u w:val="single"/>
                </w:rPr>
                <w:t>Certification of Chief Executive Officer pursuant to Rule 13a-14(a) of the Exchange Act.</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w:anchor="vicr-ex31_2.htm">
              <w:r>
                <w:rPr>
                  <w:rStyle w:val="InternetLink"/>
                  <w:rFonts w:ascii="Times New Roman" w:hAnsi="Times New Roman"/>
                  <w:color w:val="0000FF"/>
                  <w:sz w:val="20"/>
                  <w:u w:val="single"/>
                </w:rPr>
                <w:t>Certification of Chief Financial Officer pursuant to Rule 13a-14(a) of the Exchange Act.</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w:anchor="vicr-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hyperlink w:anchor="vicr-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Filed as an exhibit to the Company’s Annual Report on Form 10-K filed on March 29, 2001 (File No. 000-18277) and incorporated herein by reference.</w:t>
            </w:r>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Filed as an exhibit to the Company’s Current Report on Form 8-K filed on June 4, 2020 (File No. 000-18277) and incorporated herein by reference.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color w:val="000000"/>
          <w:sz w:val="20"/>
          <w:u w:val="single"/>
        </w:rPr>
      </w:pPr>
      <w:bookmarkStart w:id="22" w:name="signatures"/>
      <w:bookmarkEnd w:id="22"/>
      <w:r>
        <w:rPr>
          <w:rFonts w:ascii="Times New Roman" w:hAnsi="Times New Roman"/>
          <w:color w:val="000000"/>
          <w:sz w:val="20"/>
          <w:u w:val="single"/>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80" w:type="dxa"/>
        <w:jc w:val="left"/>
        <w:tblInd w:w="0" w:type="dxa"/>
        <w:tblLayout w:type="fixed"/>
        <w:tblCellMar>
          <w:top w:w="28" w:type="dxa"/>
          <w:left w:w="28" w:type="dxa"/>
          <w:bottom w:w="28" w:type="dxa"/>
          <w:right w:w="28" w:type="dxa"/>
        </w:tblCellMar>
      </w:tblPr>
      <w:tblGrid>
        <w:gridCol w:w="1711"/>
        <w:gridCol w:w="146"/>
        <w:gridCol w:w="406"/>
        <w:gridCol w:w="146"/>
        <w:gridCol w:w="327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VICOR CORPORATION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Patrizio Vinciarelli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Patrizio Vinciarelli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President and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F. Schmidt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F. Schmidt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3" w:name="vicr-ex31_1.htm"/>
      <w:bookmarkStart w:id="24" w:name="ksvicrex31_1"/>
      <w:bookmarkEnd w:id="23"/>
      <w:bookmarkEnd w:id="24"/>
      <w:r>
        <w:rPr>
          <w:rFonts w:ascii="Times New Roman" w:hAnsi="Times New Roman"/>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CHIEF EXECUTIVE OFFICER CERTIFICATION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Patrizio Vinciarelli</w:t>
      </w:r>
      <w:r>
        <w:rPr>
          <w:rFonts w:ascii="Times New Roman" w:hAnsi="Times New Roman"/>
          <w:color w:val="000000"/>
          <w:sz w:val="20"/>
        </w:rPr>
        <w:t>,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Vicor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22" w:type="dxa"/>
        <w:jc w:val="left"/>
        <w:tblInd w:w="0" w:type="dxa"/>
        <w:tblLayout w:type="fixed"/>
        <w:tblCellMar>
          <w:top w:w="28" w:type="dxa"/>
          <w:left w:w="28" w:type="dxa"/>
          <w:bottom w:w="28" w:type="dxa"/>
          <w:right w:w="28" w:type="dxa"/>
        </w:tblCellMar>
      </w:tblPr>
      <w:tblGrid>
        <w:gridCol w:w="1816"/>
        <w:gridCol w:w="146"/>
        <w:gridCol w:w="146"/>
        <w:gridCol w:w="146"/>
        <w:gridCol w:w="146"/>
        <w:gridCol w:w="146"/>
        <w:gridCol w:w="2476"/>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Patrizio Vinciarelli</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Patrizio Vinciarelli</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5" w:name="vicr-ex31_2.htm"/>
      <w:bookmarkStart w:id="26" w:name="ksvicrex31_2"/>
      <w:bookmarkEnd w:id="25"/>
      <w:bookmarkEnd w:id="26"/>
      <w:r>
        <w:rPr>
          <w:rFonts w:ascii="Times New Roman" w:hAnsi="Times New Roman"/>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CHIEF FINANCIAL OFFICER CERTIFICATION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James F. Schmidt</w:t>
      </w:r>
      <w:r>
        <w:rPr>
          <w:rFonts w:ascii="Times New Roman" w:hAnsi="Times New Roman"/>
          <w:color w:val="000000"/>
          <w:sz w:val="20"/>
        </w:rPr>
        <w: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Vicor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817" w:type="dxa"/>
        <w:jc w:val="left"/>
        <w:tblInd w:w="0" w:type="dxa"/>
        <w:tblLayout w:type="fixed"/>
        <w:tblCellMar>
          <w:top w:w="28" w:type="dxa"/>
          <w:left w:w="28" w:type="dxa"/>
          <w:bottom w:w="28" w:type="dxa"/>
          <w:right w:w="28" w:type="dxa"/>
        </w:tblCellMar>
      </w:tblPr>
      <w:tblGrid>
        <w:gridCol w:w="1816"/>
        <w:gridCol w:w="146"/>
        <w:gridCol w:w="146"/>
        <w:gridCol w:w="146"/>
        <w:gridCol w:w="146"/>
        <w:gridCol w:w="146"/>
        <w:gridCol w:w="327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James F. Schmidt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F. Schmidt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Chief Financial Officer</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7" w:name="vicr-ex32_1.htm"/>
      <w:bookmarkStart w:id="28" w:name="ksvicrex32_1"/>
      <w:bookmarkEnd w:id="27"/>
      <w:bookmarkEnd w:id="28"/>
      <w:r>
        <w:rPr>
          <w:rFonts w:ascii="Times New Roman" w:hAnsi="Times New Roman"/>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Vicor Corporation (the “Company”) on Form 10-Q for the period ended June 30, 2026 as filed with the Securities and Exchange Commission on the date hereof (the “Report”), I, Patrizio Vinciarelli, Chief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Patrizio Vinciarelli</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Patrizio Vinciarelli</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Chairman of the Board and</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July 29,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9" w:name="vicr-ex32_2.htm"/>
      <w:bookmarkStart w:id="30" w:name="ksvicrex32_2"/>
      <w:bookmarkEnd w:id="29"/>
      <w:bookmarkEnd w:id="30"/>
      <w:r>
        <w:rPr>
          <w:rFonts w:ascii="Times New Roman" w:hAnsi="Times New Roman"/>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Vicor Corporation (the “Company”) on Form 10-Q for the period ended June 30, 2026 as filed with the Securities and Exchange Commission on the date hereof (the “Report”), I, James F. Schmidt,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James F. Schmidt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F. Schmidt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July 29,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51978/000100547701002294/0001005477-01-002294-0002.txt" TargetMode="External"/><Relationship Id="rId3" Type="http://schemas.openxmlformats.org/officeDocument/2006/relationships/hyperlink" Target="https://www.sec.gov/Archives/edgar/data/751978/000100547701002294/0001005477-01-002294-0003.txt" TargetMode="External"/><Relationship Id="rId4" Type="http://schemas.openxmlformats.org/officeDocument/2006/relationships/hyperlink" Target="https://www.sec.gov/Archives/edgar/data/751978/000100547701002294/0001005477-01-002294-0004.txt" TargetMode="External"/><Relationship Id="rId5" Type="http://schemas.openxmlformats.org/officeDocument/2006/relationships/hyperlink" Target="https://www.sec.gov/Archives/edgar/data/751978/000100547701002294/0001005477-01-002294-0005.txt" TargetMode="External"/><Relationship Id="rId6" Type="http://schemas.openxmlformats.org/officeDocument/2006/relationships/hyperlink" Target="https://www.sec.gov/Archives/edgar/data/0000751978/000119312520160785/d927000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14820</Words>
  <Characters>81827</Characters>
  <CharactersWithSpaces>98813</CharactersWithSpaces>
  <Paragraphs>6921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